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ANNEX 9.1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For agencies identified in Annex 9 WITH policy, 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issuance, rules and/or regulations relevant to market competition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Competition Threshold Checklist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3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7860"/>
        <w:tblGridChange w:id="0">
          <w:tblGrid>
            <w:gridCol w:w="2160"/>
            <w:gridCol w:w="7860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9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(1) Agency Name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9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(2) Reference Number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9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(3) Title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9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9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(4) Issuing Office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9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(5) Remarks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9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Upon conducting a Competition Impact Assessment (CIA), the &lt;Name of Agency&gt; has reviewed the abovementioned policy/issuance/rule/regulation. Below is the summary of the agency’s review.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Checklist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1"/>
        <w:gridCol w:w="3001"/>
        <w:gridCol w:w="1834"/>
        <w:gridCol w:w="1834"/>
        <w:gridCol w:w="1834"/>
        <w:tblGridChange w:id="0">
          <w:tblGrid>
            <w:gridCol w:w="631"/>
            <w:gridCol w:w="3001"/>
            <w:gridCol w:w="1834"/>
            <w:gridCol w:w="1834"/>
            <w:gridCol w:w="1834"/>
          </w:tblGrid>
        </w:tblGridChange>
      </w:tblGrid>
      <w:tr>
        <w:trPr>
          <w:cantSplit w:val="0"/>
          <w:trHeight w:val="260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100" w:before="100" w:lineRule="auto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In any affected market, would the regulation…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00" w:before="10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00" w:before="10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00" w:before="100" w:lineRule="auto"/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ind w:left="342" w:hanging="36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Directly or indirectly restrict the number or range of suppliers or buyers?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00" w:before="10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00" w:before="10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00" w:before="10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exclusively award rights to a supplier or buyer?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introduce procurement from a single supplier, or restricted group of suppliers?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96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introduce a fixed limit on the number of firms (quotas)?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269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restrict geographical access to goods and services?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5054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5054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require license, permits, or authorization as a pre-condition to operation?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limit the ability of suppliers to provide a good or service, or of buyers to purchase goods or services?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create higher costs of entry or exit for firms?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ind w:left="342" w:hanging="36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Restrict the ability or incentive of suppliers or buyers to compete?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00" w:before="10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00" w:before="10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00" w:before="10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limit the extent to which prices are determined by market forces?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increase the scope for self-regulatory or co-regulatory regimes that negatively impact entry conditions or of the ability of firms to set prices and other market variables?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require the sharing or publication of information on firm output, volume, prices, sales, purchases, or costs?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provide for a competition exemption?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limit the freedom of firms to advertise or market their goods or services?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set standards for product quality that are above the level that some well-informed customers would choose?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limit the discretion for innovation?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ind w:left="342" w:hanging="36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Discriminate against certain agents?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00" w:before="10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00" w:before="10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00" w:before="10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introduce a discriminatory application of rules?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allow for the discretionary application of rules to market players?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introduce subsidies, incentives, policies, and access to limited resources that distorts the level playing field?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allow regulators to provide goods or services in competition with private players?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provide for a clear and effective access policy to essential facilities?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ind w:left="346" w:hanging="36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Limit choice or information available to consumers or producers?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limit or eliminate the consumers’ (producers’) choice of supplier (buyer)?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limit the mobility of consumers (producers) across alternative suppliers (buyers)?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it limit the information available to producers or consumers?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 Does it mention the PhCC and its functions and or alter any of its powers, or functions?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694"/>
        <w:jc w:val="both"/>
        <w:rPr>
          <w:rFonts w:ascii="Arial" w:cs="Arial" w:eastAsia="Arial" w:hAnsi="Arial"/>
          <w:b w:val="1"/>
          <w:sz w:val="20"/>
          <w:szCs w:val="20"/>
        </w:rPr>
        <w:sectPr>
          <w:headerReference r:id="rId8" w:type="first"/>
          <w:footerReference r:id="rId9" w:type="default"/>
          <w:footerReference r:id="rId10" w:type="first"/>
          <w:footerReference r:id="rId11" w:type="even"/>
          <w:pgSz w:h="16838" w:w="11906" w:orient="portrait"/>
          <w:pgMar w:bottom="1440" w:top="1440" w:left="1440" w:right="1440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Prepared by: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 of NCP Focal Person / Designation / Date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Approved by:</w:t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b w:val="1"/>
          <w:sz w:val="20"/>
          <w:szCs w:val="20"/>
        </w:rPr>
        <w:sectPr>
          <w:type w:val="continuous"/>
          <w:pgSz w:h="16838" w:w="11906" w:orient="portrait"/>
          <w:pgMar w:bottom="1440" w:top="1440" w:left="1440" w:right="1440" w:header="708" w:footer="708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Department Secretary/Agency Head / Date</w:t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5"/>
        <w:gridCol w:w="7065"/>
        <w:tblGridChange w:id="0">
          <w:tblGrid>
            <w:gridCol w:w="1905"/>
            <w:gridCol w:w="7065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GUIDELINES IN ACCOMPLISHING</w:t>
            </w:r>
          </w:p>
          <w:p w:rsidR="00000000" w:rsidDel="00000000" w:rsidP="00000000" w:rsidRDefault="00000000" w:rsidRPr="00000000" w14:paraId="000000B8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ANNEX 9.1 – REVISED COMPETITION THRESHOLD CHECKLIST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Row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Indicate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name of the agency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Row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Rule="auto"/>
              <w:ind w:right="100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Indicate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reference number and year of issuance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Row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Rule="auto"/>
              <w:ind w:right="-70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Indicate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title or short title of policy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Row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Rule="auto"/>
              <w:ind w:right="-70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Indicate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name of office/s that drafted the policy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Row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Rule="auto"/>
              <w:ind w:right="-700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Indicate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relevant information such as under TRO, superseded,</w:t>
            </w:r>
          </w:p>
          <w:p w:rsidR="00000000" w:rsidDel="00000000" w:rsidP="00000000" w:rsidRDefault="00000000" w:rsidRPr="00000000" w14:paraId="000000C4">
            <w:pPr>
              <w:spacing w:after="0" w:before="0" w:lineRule="auto"/>
              <w:ind w:right="-700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unfunded, timebound, etc.</w:t>
            </w:r>
          </w:p>
        </w:tc>
      </w:tr>
    </w:tbl>
    <w:p w:rsidR="00000000" w:rsidDel="00000000" w:rsidP="00000000" w:rsidRDefault="00000000" w:rsidRPr="00000000" w14:paraId="000000C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08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1600584" cy="590932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584" cy="5909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 Based on the checklist under the OECD’s Competition Impact Assessment toolkit.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5731510" cy="103060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030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8029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B21C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B21CA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915FE6"/>
    <w:pPr>
      <w:tabs>
        <w:tab w:val="center" w:pos="4680"/>
        <w:tab w:val="right" w:pos="9360"/>
      </w:tabs>
    </w:pPr>
    <w:rPr>
      <w:rFonts w:asciiTheme="minorHAnsi" w:cstheme="minorBidi" w:hAnsiTheme="minorHAnsi"/>
      <w:sz w:val="22"/>
      <w:szCs w:val="22"/>
      <w:lang w:val="en-PH"/>
    </w:rPr>
  </w:style>
  <w:style w:type="character" w:styleId="HeaderChar" w:customStyle="1">
    <w:name w:val="Header Char"/>
    <w:basedOn w:val="DefaultParagraphFont"/>
    <w:link w:val="Header"/>
    <w:uiPriority w:val="99"/>
    <w:rsid w:val="00915FE6"/>
  </w:style>
  <w:style w:type="paragraph" w:styleId="Footer">
    <w:name w:val="footer"/>
    <w:basedOn w:val="Normal"/>
    <w:link w:val="FooterChar"/>
    <w:uiPriority w:val="99"/>
    <w:unhideWhenUsed w:val="1"/>
    <w:rsid w:val="00915FE6"/>
    <w:pPr>
      <w:tabs>
        <w:tab w:val="center" w:pos="4680"/>
        <w:tab w:val="right" w:pos="9360"/>
      </w:tabs>
    </w:pPr>
    <w:rPr>
      <w:rFonts w:asciiTheme="minorHAnsi" w:cstheme="minorBidi" w:hAnsiTheme="minorHAnsi"/>
      <w:sz w:val="22"/>
      <w:szCs w:val="22"/>
      <w:lang w:val="en-PH"/>
    </w:rPr>
  </w:style>
  <w:style w:type="character" w:styleId="FooterChar" w:customStyle="1">
    <w:name w:val="Footer Char"/>
    <w:basedOn w:val="DefaultParagraphFont"/>
    <w:link w:val="Footer"/>
    <w:uiPriority w:val="99"/>
    <w:rsid w:val="00915FE6"/>
  </w:style>
  <w:style w:type="paragraph" w:styleId="NormalWeb">
    <w:name w:val="Normal (Web)"/>
    <w:basedOn w:val="Normal"/>
    <w:uiPriority w:val="99"/>
    <w:unhideWhenUsed w:val="1"/>
    <w:rsid w:val="00FF3867"/>
    <w:pPr>
      <w:spacing w:after="100" w:afterAutospacing="1" w:before="100" w:beforeAutospacing="1"/>
    </w:pPr>
    <w:rPr>
      <w:lang w:val="en-PH"/>
    </w:rPr>
  </w:style>
  <w:style w:type="paragraph" w:styleId="ListParagraph">
    <w:name w:val="List Paragraph"/>
    <w:basedOn w:val="Normal"/>
    <w:link w:val="ListParagraphChar"/>
    <w:uiPriority w:val="34"/>
    <w:qFormat w:val="1"/>
    <w:rsid w:val="008051A3"/>
    <w:pPr>
      <w:autoSpaceDE w:val="0"/>
      <w:autoSpaceDN w:val="0"/>
      <w:adjustRightInd w:val="0"/>
      <w:ind w:left="720"/>
      <w:contextualSpacing w:val="1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 w:val="1"/>
    <w:rsid w:val="008051A3"/>
    <w:pPr>
      <w:autoSpaceDE w:val="0"/>
      <w:autoSpaceDN w:val="0"/>
      <w:adjustRightInd w:val="0"/>
    </w:pPr>
  </w:style>
  <w:style w:type="character" w:styleId="FootnoteTextChar" w:customStyle="1">
    <w:name w:val="Footnote Text Char"/>
    <w:basedOn w:val="DefaultParagraphFont"/>
    <w:link w:val="FootnoteText"/>
    <w:uiPriority w:val="99"/>
    <w:rsid w:val="008051A3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 w:val="1"/>
    <w:rsid w:val="008051A3"/>
    <w:rPr>
      <w:vertAlign w:val="superscript"/>
    </w:rPr>
  </w:style>
  <w:style w:type="character" w:styleId="Hyperlink">
    <w:name w:val="Hyperlink"/>
    <w:basedOn w:val="DefaultParagraphFont"/>
    <w:uiPriority w:val="99"/>
    <w:unhideWhenUsed w:val="1"/>
    <w:rsid w:val="004C444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8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D84445"/>
    <w:rPr>
      <w:rFonts w:ascii="Arial" w:cs="Arial" w:eastAsia="Arial" w:hAnsi="Arial"/>
      <w:sz w:val="20"/>
      <w:szCs w:val="20"/>
      <w:lang w:val="en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84445"/>
    <w:rPr>
      <w:rFonts w:ascii="Arial" w:cs="Arial" w:eastAsia="Arial" w:hAnsi="Arial"/>
      <w:sz w:val="20"/>
      <w:szCs w:val="20"/>
      <w:lang w:val="en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291930"/>
  </w:style>
  <w:style w:type="table" w:styleId="TableGrid">
    <w:name w:val="Table Grid"/>
    <w:basedOn w:val="TableNormal"/>
    <w:uiPriority w:val="59"/>
    <w:rsid w:val="002E52B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DefaultParagraphFont"/>
    <w:rsid w:val="004703D0"/>
  </w:style>
  <w:style w:type="character" w:styleId="Emphasis">
    <w:name w:val="Emphasis"/>
    <w:basedOn w:val="DefaultParagraphFont"/>
    <w:uiPriority w:val="20"/>
    <w:qFormat w:val="1"/>
    <w:rsid w:val="004B5776"/>
    <w:rPr>
      <w:i w:val="1"/>
      <w:iCs w:val="1"/>
    </w:rPr>
  </w:style>
  <w:style w:type="character" w:styleId="ListParagraphChar" w:customStyle="1">
    <w:name w:val="List Paragraph Char"/>
    <w:link w:val="ListParagraph"/>
    <w:uiPriority w:val="34"/>
    <w:locked w:val="1"/>
    <w:rsid w:val="00A767F1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NoSpacing">
    <w:name w:val="No Spacing"/>
    <w:uiPriority w:val="1"/>
    <w:qFormat w:val="1"/>
    <w:rsid w:val="00A767F1"/>
    <w:rPr>
      <w:rFonts w:eastAsiaTheme="minorEastAsia"/>
    </w:rPr>
  </w:style>
  <w:style w:type="character" w:styleId="Strong">
    <w:name w:val="Strong"/>
    <w:basedOn w:val="DefaultParagraphFont"/>
    <w:uiPriority w:val="22"/>
    <w:qFormat w:val="1"/>
    <w:rsid w:val="00451BDF"/>
    <w:rPr>
      <w:b w:val="1"/>
      <w:bCs w:val="1"/>
    </w:rPr>
  </w:style>
  <w:style w:type="paragraph" w:styleId="Revision">
    <w:name w:val="Revision"/>
    <w:hidden w:val="1"/>
    <w:uiPriority w:val="99"/>
    <w:semiHidden w:val="1"/>
    <w:rsid w:val="00AF1D4E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F1D4E"/>
    <w:rPr>
      <w:rFonts w:ascii="Times New Roman" w:cs="Times New Roman" w:hAnsi="Times New Roman" w:eastAsiaTheme="minorHAnsi"/>
      <w:b w:val="1"/>
      <w:bCs w:val="1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F1D4E"/>
    <w:rPr>
      <w:rFonts w:ascii="Times New Roman" w:cs="Times New Roman" w:eastAsia="Arial" w:hAnsi="Times New Roman"/>
      <w:b w:val="1"/>
      <w:bCs w:val="1"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43z4Oi8dnc4YD1omXdcMIPh0g==">AMUW2mWWLczUzX8J1K3QNFxjsBipbnTC5GaX1+uVTePXzGg0121kMhgCSELBY2EQEJffCiuJ6wo/BLvUj5p6aT7aHNApmoGX4rMK+zXf3Akqzpc8yHxf9Oc=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2022-03-14T07:03:00Z</dcterms:created>
  <dc:creator>Michael Lew C. Madrid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0x01010047083907AB30C143AF94A2804DEC05F5</vt:lpwstr>
  </property>
</Properties>
</file>