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0000002" w14:textId="2A1CBC30" w:rsidR="00E623D6" w:rsidRPr="00365E89" w:rsidRDefault="00E623D6">
      <w:pPr>
        <w:pBdr>
          <w:top w:val="nil"/>
          <w:left w:val="nil"/>
          <w:bottom w:val="nil"/>
          <w:right w:val="nil"/>
          <w:between w:val="nil"/>
        </w:pBdr>
        <w:spacing w:after="0" w:line="240" w:lineRule="auto"/>
        <w:jc w:val="center"/>
        <w:rPr>
          <w:rFonts w:ascii="Arial" w:eastAsia="Tahoma" w:hAnsi="Arial" w:cs="Arial"/>
          <w:b/>
          <w:color w:val="000000"/>
          <w:sz w:val="24"/>
          <w:szCs w:val="24"/>
        </w:rPr>
      </w:pPr>
    </w:p>
    <w:p w14:paraId="2B6C375C" w14:textId="4CFCB1CB" w:rsidR="00365E89" w:rsidRPr="00365E89" w:rsidRDefault="00365E89" w:rsidP="00365E89">
      <w:pPr>
        <w:pBdr>
          <w:top w:val="nil"/>
          <w:left w:val="nil"/>
          <w:bottom w:val="nil"/>
          <w:right w:val="nil"/>
          <w:between w:val="nil"/>
        </w:pBdr>
        <w:spacing w:after="0" w:line="240" w:lineRule="auto"/>
        <w:jc w:val="right"/>
        <w:rPr>
          <w:rFonts w:ascii="Arial" w:eastAsia="Tahoma" w:hAnsi="Arial" w:cs="Arial"/>
          <w:b/>
          <w:i/>
          <w:iCs/>
          <w:color w:val="000000"/>
          <w:sz w:val="24"/>
          <w:szCs w:val="24"/>
        </w:rPr>
      </w:pPr>
      <w:r w:rsidRPr="00365E89">
        <w:rPr>
          <w:rFonts w:ascii="Arial" w:eastAsia="Tahoma" w:hAnsi="Arial" w:cs="Arial"/>
          <w:b/>
          <w:i/>
          <w:iCs/>
          <w:color w:val="000000"/>
          <w:sz w:val="24"/>
          <w:szCs w:val="24"/>
        </w:rPr>
        <w:t xml:space="preserve">Annex </w:t>
      </w:r>
      <w:r w:rsidR="00F02ED4">
        <w:rPr>
          <w:rFonts w:ascii="Arial" w:eastAsia="Tahoma" w:hAnsi="Arial" w:cs="Arial"/>
          <w:b/>
          <w:i/>
          <w:iCs/>
          <w:color w:val="000000"/>
          <w:sz w:val="24"/>
          <w:szCs w:val="24"/>
        </w:rPr>
        <w:t>7</w:t>
      </w:r>
    </w:p>
    <w:p w14:paraId="09769820" w14:textId="77777777" w:rsidR="00365E89" w:rsidRPr="00365E89" w:rsidRDefault="00365E89" w:rsidP="00365E89">
      <w:pPr>
        <w:pBdr>
          <w:top w:val="nil"/>
          <w:left w:val="nil"/>
          <w:bottom w:val="nil"/>
          <w:right w:val="nil"/>
          <w:between w:val="nil"/>
        </w:pBdr>
        <w:spacing w:after="0" w:line="240" w:lineRule="auto"/>
        <w:jc w:val="right"/>
        <w:rPr>
          <w:rFonts w:ascii="Arial" w:eastAsia="Tahoma" w:hAnsi="Arial" w:cs="Arial"/>
          <w:b/>
          <w:color w:val="000000"/>
          <w:sz w:val="24"/>
          <w:szCs w:val="24"/>
        </w:rPr>
      </w:pPr>
    </w:p>
    <w:p w14:paraId="00000003" w14:textId="77777777" w:rsidR="00E623D6" w:rsidRPr="00365E89" w:rsidRDefault="00C22E07">
      <w:pPr>
        <w:pBdr>
          <w:top w:val="nil"/>
          <w:left w:val="nil"/>
          <w:bottom w:val="nil"/>
          <w:right w:val="nil"/>
          <w:between w:val="nil"/>
        </w:pBdr>
        <w:spacing w:after="0" w:line="240" w:lineRule="auto"/>
        <w:jc w:val="center"/>
        <w:rPr>
          <w:rFonts w:ascii="Arial" w:eastAsia="Tahoma" w:hAnsi="Arial" w:cs="Arial"/>
          <w:b/>
          <w:color w:val="000000"/>
          <w:sz w:val="24"/>
          <w:szCs w:val="24"/>
          <w:u w:val="single"/>
        </w:rPr>
      </w:pPr>
      <w:bookmarkStart w:id="0" w:name="_heading=h.30j0zll" w:colFirst="0" w:colLast="0"/>
      <w:bookmarkEnd w:id="0"/>
      <w:r w:rsidRPr="00365E89">
        <w:rPr>
          <w:rFonts w:ascii="Arial" w:eastAsia="Tahoma" w:hAnsi="Arial" w:cs="Arial"/>
          <w:b/>
          <w:color w:val="000000"/>
          <w:sz w:val="24"/>
          <w:szCs w:val="24"/>
          <w:u w:val="single"/>
        </w:rPr>
        <w:t>GUIDELINES ON PHILGEPS POSTING</w:t>
      </w:r>
    </w:p>
    <w:p w14:paraId="00000004" w14:textId="77777777" w:rsidR="00E623D6" w:rsidRPr="00365E89" w:rsidRDefault="00E623D6">
      <w:pPr>
        <w:pBdr>
          <w:top w:val="nil"/>
          <w:left w:val="nil"/>
          <w:bottom w:val="nil"/>
          <w:right w:val="nil"/>
          <w:between w:val="nil"/>
        </w:pBdr>
        <w:spacing w:after="0" w:line="240" w:lineRule="auto"/>
        <w:jc w:val="center"/>
        <w:rPr>
          <w:rFonts w:ascii="Arial" w:eastAsia="Tahoma" w:hAnsi="Arial" w:cs="Arial"/>
          <w:color w:val="000000"/>
          <w:sz w:val="24"/>
          <w:szCs w:val="24"/>
        </w:rPr>
      </w:pPr>
    </w:p>
    <w:p w14:paraId="00000005" w14:textId="77777777" w:rsidR="00E623D6" w:rsidRPr="00365E89" w:rsidRDefault="00C22E07">
      <w:pPr>
        <w:pBdr>
          <w:top w:val="nil"/>
          <w:left w:val="nil"/>
          <w:bottom w:val="nil"/>
          <w:right w:val="nil"/>
          <w:between w:val="nil"/>
        </w:pBdr>
        <w:spacing w:after="0" w:line="240" w:lineRule="auto"/>
        <w:jc w:val="both"/>
        <w:rPr>
          <w:rFonts w:ascii="Arial" w:eastAsia="Tahoma" w:hAnsi="Arial" w:cs="Arial"/>
          <w:color w:val="000000"/>
          <w:sz w:val="24"/>
          <w:szCs w:val="24"/>
        </w:rPr>
      </w:pPr>
      <w:r w:rsidRPr="00365E89">
        <w:rPr>
          <w:rFonts w:ascii="Arial" w:eastAsia="Tahoma" w:hAnsi="Arial" w:cs="Arial"/>
          <w:color w:val="000000"/>
          <w:sz w:val="24"/>
          <w:szCs w:val="24"/>
        </w:rPr>
        <w:t xml:space="preserve">Maintain/Update the </w:t>
      </w:r>
      <w:proofErr w:type="spellStart"/>
      <w:r w:rsidRPr="00365E89">
        <w:rPr>
          <w:rFonts w:ascii="Arial" w:eastAsia="Tahoma" w:hAnsi="Arial" w:cs="Arial"/>
          <w:color w:val="000000"/>
          <w:sz w:val="24"/>
          <w:szCs w:val="24"/>
        </w:rPr>
        <w:t>PhilGEPS</w:t>
      </w:r>
      <w:proofErr w:type="spellEnd"/>
      <w:r w:rsidRPr="00365E89">
        <w:rPr>
          <w:rFonts w:ascii="Arial" w:eastAsia="Tahoma" w:hAnsi="Arial" w:cs="Arial"/>
          <w:color w:val="000000"/>
          <w:sz w:val="24"/>
          <w:szCs w:val="24"/>
        </w:rPr>
        <w:t xml:space="preserve"> posting of all Invitations to Bids and awarded contracts pursuant to the Government Procurement Reform Act, Republic Act No. 9184, for transactions from January 1, 20</w:t>
      </w:r>
      <w:r w:rsidRPr="00365E89">
        <w:rPr>
          <w:rFonts w:ascii="Arial" w:eastAsia="Tahoma" w:hAnsi="Arial" w:cs="Arial"/>
          <w:sz w:val="24"/>
          <w:szCs w:val="24"/>
        </w:rPr>
        <w:t>22</w:t>
      </w:r>
      <w:r w:rsidRPr="00365E89">
        <w:rPr>
          <w:rFonts w:ascii="Arial" w:eastAsia="Tahoma" w:hAnsi="Arial" w:cs="Arial"/>
          <w:color w:val="000000"/>
          <w:sz w:val="24"/>
          <w:szCs w:val="24"/>
        </w:rPr>
        <w:t xml:space="preserve"> to December 31, 20</w:t>
      </w:r>
      <w:r w:rsidRPr="00365E89">
        <w:rPr>
          <w:rFonts w:ascii="Arial" w:eastAsia="Tahoma" w:hAnsi="Arial" w:cs="Arial"/>
          <w:sz w:val="24"/>
          <w:szCs w:val="24"/>
        </w:rPr>
        <w:t>22</w:t>
      </w:r>
      <w:r w:rsidRPr="00365E89">
        <w:rPr>
          <w:rFonts w:ascii="Arial" w:eastAsia="Tahoma" w:hAnsi="Arial" w:cs="Arial"/>
          <w:color w:val="000000"/>
          <w:sz w:val="24"/>
          <w:szCs w:val="24"/>
        </w:rPr>
        <w:t xml:space="preserve">, including the Early Procurement of FY 2022 Non-CSE items. </w:t>
      </w:r>
    </w:p>
    <w:p w14:paraId="00000006" w14:textId="77777777" w:rsidR="00E623D6" w:rsidRPr="00365E89" w:rsidRDefault="00E623D6">
      <w:pPr>
        <w:pBdr>
          <w:top w:val="nil"/>
          <w:left w:val="nil"/>
          <w:bottom w:val="nil"/>
          <w:right w:val="nil"/>
          <w:between w:val="nil"/>
        </w:pBdr>
        <w:spacing w:after="0" w:line="240" w:lineRule="auto"/>
        <w:jc w:val="both"/>
        <w:rPr>
          <w:rFonts w:ascii="Arial" w:eastAsia="Tahoma" w:hAnsi="Arial" w:cs="Arial"/>
          <w:color w:val="000000"/>
          <w:sz w:val="24"/>
          <w:szCs w:val="24"/>
        </w:rPr>
      </w:pPr>
    </w:p>
    <w:p w14:paraId="00000007" w14:textId="77777777" w:rsidR="00E623D6" w:rsidRPr="00365E89" w:rsidRDefault="00C22E07">
      <w:pPr>
        <w:pBdr>
          <w:top w:val="nil"/>
          <w:left w:val="nil"/>
          <w:bottom w:val="nil"/>
          <w:right w:val="nil"/>
          <w:between w:val="nil"/>
        </w:pBdr>
        <w:spacing w:after="0" w:line="240" w:lineRule="auto"/>
        <w:jc w:val="both"/>
        <w:rPr>
          <w:rFonts w:ascii="Arial" w:eastAsia="Tahoma" w:hAnsi="Arial" w:cs="Arial"/>
          <w:i/>
          <w:color w:val="000000"/>
          <w:sz w:val="24"/>
          <w:szCs w:val="24"/>
        </w:rPr>
      </w:pPr>
      <w:r w:rsidRPr="00365E89">
        <w:rPr>
          <w:rFonts w:ascii="Arial" w:eastAsia="Tahoma" w:hAnsi="Arial" w:cs="Arial"/>
          <w:color w:val="000000"/>
          <w:sz w:val="24"/>
          <w:szCs w:val="24"/>
        </w:rPr>
        <w:t xml:space="preserve">Departments/agencies should ensure that the status of notices in the </w:t>
      </w:r>
      <w:proofErr w:type="spellStart"/>
      <w:r w:rsidRPr="00365E89">
        <w:rPr>
          <w:rFonts w:ascii="Arial" w:eastAsia="Tahoma" w:hAnsi="Arial" w:cs="Arial"/>
          <w:color w:val="000000"/>
          <w:sz w:val="24"/>
          <w:szCs w:val="24"/>
        </w:rPr>
        <w:t>PhilGEPS</w:t>
      </w:r>
      <w:proofErr w:type="spellEnd"/>
      <w:r w:rsidRPr="00365E89">
        <w:rPr>
          <w:rFonts w:ascii="Arial" w:eastAsia="Tahoma" w:hAnsi="Arial" w:cs="Arial"/>
          <w:color w:val="000000"/>
          <w:sz w:val="24"/>
          <w:szCs w:val="24"/>
        </w:rPr>
        <w:t xml:space="preserve"> System for all transactions for the period January 1, 20</w:t>
      </w:r>
      <w:r w:rsidRPr="00365E89">
        <w:rPr>
          <w:rFonts w:ascii="Arial" w:eastAsia="Tahoma" w:hAnsi="Arial" w:cs="Arial"/>
          <w:sz w:val="24"/>
          <w:szCs w:val="24"/>
        </w:rPr>
        <w:t>22</w:t>
      </w:r>
      <w:r w:rsidRPr="00365E89">
        <w:rPr>
          <w:rFonts w:ascii="Arial" w:eastAsia="Tahoma" w:hAnsi="Arial" w:cs="Arial"/>
          <w:color w:val="000000"/>
          <w:sz w:val="24"/>
          <w:szCs w:val="24"/>
        </w:rPr>
        <w:t xml:space="preserve"> to December 31, 20</w:t>
      </w:r>
      <w:r w:rsidRPr="00365E89">
        <w:rPr>
          <w:rFonts w:ascii="Arial" w:eastAsia="Tahoma" w:hAnsi="Arial" w:cs="Arial"/>
          <w:sz w:val="24"/>
          <w:szCs w:val="24"/>
        </w:rPr>
        <w:t>22</w:t>
      </w:r>
      <w:r w:rsidRPr="00365E89">
        <w:rPr>
          <w:rFonts w:ascii="Arial" w:eastAsia="Tahoma" w:hAnsi="Arial" w:cs="Arial"/>
          <w:color w:val="000000"/>
          <w:sz w:val="24"/>
          <w:szCs w:val="24"/>
        </w:rPr>
        <w:t xml:space="preserve">, including the Early Procurement of FY 2022 Non-CSE items, is updated on or before January </w:t>
      </w:r>
      <w:r w:rsidRPr="00365E89">
        <w:rPr>
          <w:rFonts w:ascii="Arial" w:eastAsia="Tahoma" w:hAnsi="Arial" w:cs="Arial"/>
          <w:sz w:val="24"/>
          <w:szCs w:val="24"/>
        </w:rPr>
        <w:t>31</w:t>
      </w:r>
      <w:r w:rsidRPr="00365E89">
        <w:rPr>
          <w:rFonts w:ascii="Arial" w:eastAsia="Tahoma" w:hAnsi="Arial" w:cs="Arial"/>
          <w:color w:val="000000"/>
          <w:sz w:val="24"/>
          <w:szCs w:val="24"/>
        </w:rPr>
        <w:t>, 202</w:t>
      </w:r>
      <w:r w:rsidRPr="00365E89">
        <w:rPr>
          <w:rFonts w:ascii="Arial" w:eastAsia="Tahoma" w:hAnsi="Arial" w:cs="Arial"/>
          <w:sz w:val="24"/>
          <w:szCs w:val="24"/>
        </w:rPr>
        <w:t>3</w:t>
      </w:r>
      <w:r w:rsidRPr="00365E89">
        <w:rPr>
          <w:rFonts w:ascii="Arial" w:eastAsia="Tahoma" w:hAnsi="Arial" w:cs="Arial"/>
          <w:color w:val="000000"/>
          <w:sz w:val="24"/>
          <w:szCs w:val="24"/>
        </w:rPr>
        <w:t xml:space="preserve">. </w:t>
      </w:r>
      <w:r w:rsidRPr="00365E89">
        <w:rPr>
          <w:rFonts w:ascii="Arial" w:eastAsia="Tahoma" w:hAnsi="Arial" w:cs="Arial"/>
          <w:i/>
          <w:color w:val="000000"/>
          <w:sz w:val="24"/>
          <w:szCs w:val="24"/>
        </w:rPr>
        <w:t xml:space="preserve">Failed or cancelled bid status should still be updated in </w:t>
      </w:r>
      <w:proofErr w:type="spellStart"/>
      <w:r w:rsidRPr="00365E89">
        <w:rPr>
          <w:rFonts w:ascii="Arial" w:eastAsia="Tahoma" w:hAnsi="Arial" w:cs="Arial"/>
          <w:i/>
          <w:color w:val="000000"/>
          <w:sz w:val="24"/>
          <w:szCs w:val="24"/>
        </w:rPr>
        <w:t>PhilGEPS</w:t>
      </w:r>
      <w:proofErr w:type="spellEnd"/>
      <w:r w:rsidRPr="00365E89">
        <w:rPr>
          <w:rFonts w:ascii="Arial" w:eastAsia="Tahoma" w:hAnsi="Arial" w:cs="Arial"/>
          <w:i/>
          <w:color w:val="000000"/>
          <w:sz w:val="24"/>
          <w:szCs w:val="24"/>
        </w:rPr>
        <w:t>.</w:t>
      </w:r>
    </w:p>
    <w:p w14:paraId="00000008" w14:textId="77777777" w:rsidR="00E623D6" w:rsidRPr="00365E89" w:rsidRDefault="00E623D6">
      <w:pPr>
        <w:pBdr>
          <w:top w:val="nil"/>
          <w:left w:val="nil"/>
          <w:bottom w:val="nil"/>
          <w:right w:val="nil"/>
          <w:between w:val="nil"/>
        </w:pBdr>
        <w:spacing w:after="0" w:line="240" w:lineRule="auto"/>
        <w:jc w:val="both"/>
        <w:rPr>
          <w:rFonts w:ascii="Arial" w:eastAsia="Tahoma" w:hAnsi="Arial" w:cs="Arial"/>
          <w:i/>
          <w:color w:val="000000"/>
          <w:sz w:val="24"/>
          <w:szCs w:val="24"/>
        </w:rPr>
      </w:pPr>
    </w:p>
    <w:p w14:paraId="00000009" w14:textId="77777777" w:rsidR="00E623D6" w:rsidRPr="00365E89" w:rsidRDefault="00C22E07">
      <w:pPr>
        <w:spacing w:after="0" w:line="240" w:lineRule="auto"/>
        <w:jc w:val="both"/>
        <w:rPr>
          <w:rFonts w:ascii="Arial" w:eastAsia="Tahoma" w:hAnsi="Arial" w:cs="Arial"/>
          <w:sz w:val="24"/>
          <w:szCs w:val="24"/>
        </w:rPr>
      </w:pPr>
      <w:r w:rsidRPr="00365E89">
        <w:rPr>
          <w:rFonts w:ascii="Arial" w:eastAsia="Tahoma" w:hAnsi="Arial" w:cs="Arial"/>
          <w:color w:val="000000"/>
          <w:sz w:val="24"/>
          <w:szCs w:val="24"/>
        </w:rPr>
        <w:t xml:space="preserve">Agencies should track their status </w:t>
      </w:r>
      <w:r w:rsidRPr="00365E89">
        <w:rPr>
          <w:rFonts w:ascii="Arial" w:eastAsia="Tahoma" w:hAnsi="Arial" w:cs="Arial"/>
          <w:sz w:val="24"/>
          <w:szCs w:val="24"/>
        </w:rPr>
        <w:t xml:space="preserve">through the </w:t>
      </w:r>
      <w:proofErr w:type="spellStart"/>
      <w:r w:rsidRPr="00365E89">
        <w:rPr>
          <w:rFonts w:ascii="Arial" w:eastAsia="Tahoma" w:hAnsi="Arial" w:cs="Arial"/>
          <w:sz w:val="24"/>
          <w:szCs w:val="24"/>
        </w:rPr>
        <w:t>PhilGEPS</w:t>
      </w:r>
      <w:proofErr w:type="spellEnd"/>
      <w:r w:rsidRPr="00365E89">
        <w:rPr>
          <w:rFonts w:ascii="Arial" w:eastAsia="Tahoma" w:hAnsi="Arial" w:cs="Arial"/>
          <w:color w:val="000000"/>
          <w:sz w:val="24"/>
          <w:szCs w:val="24"/>
        </w:rPr>
        <w:t xml:space="preserve"> microsite link for monitoring purposes: </w:t>
      </w:r>
      <w:hyperlink r:id="rId7">
        <w:r w:rsidRPr="00365E89">
          <w:rPr>
            <w:rFonts w:ascii="Arial" w:eastAsia="Tahoma" w:hAnsi="Arial" w:cs="Arial"/>
            <w:b/>
            <w:color w:val="0000FF"/>
            <w:sz w:val="24"/>
            <w:szCs w:val="24"/>
            <w:u w:val="single"/>
          </w:rPr>
          <w:t>https://open.philgeps.gov.ph/pbb</w:t>
        </w:r>
      </w:hyperlink>
      <w:r w:rsidRPr="00365E89">
        <w:rPr>
          <w:rFonts w:ascii="Arial" w:eastAsia="Tahoma" w:hAnsi="Arial" w:cs="Arial"/>
          <w:b/>
          <w:color w:val="000000"/>
          <w:sz w:val="24"/>
          <w:szCs w:val="24"/>
          <w:u w:val="single"/>
        </w:rPr>
        <w:t>.</w:t>
      </w:r>
      <w:r w:rsidRPr="00365E89">
        <w:rPr>
          <w:rFonts w:ascii="Arial" w:eastAsia="Tahoma" w:hAnsi="Arial" w:cs="Arial"/>
          <w:sz w:val="24"/>
          <w:szCs w:val="24"/>
        </w:rPr>
        <w:t xml:space="preserve"> </w:t>
      </w:r>
      <w:r w:rsidRPr="00365E89">
        <w:rPr>
          <w:rFonts w:ascii="Arial" w:eastAsia="Tahoma" w:hAnsi="Arial" w:cs="Arial"/>
          <w:color w:val="000000"/>
          <w:sz w:val="24"/>
          <w:szCs w:val="24"/>
        </w:rPr>
        <w:t xml:space="preserve">In the generated </w:t>
      </w:r>
      <w:r w:rsidRPr="00365E89">
        <w:rPr>
          <w:rFonts w:ascii="Arial" w:eastAsia="Tahoma" w:hAnsi="Arial" w:cs="Arial"/>
          <w:sz w:val="24"/>
          <w:szCs w:val="24"/>
        </w:rPr>
        <w:t>Excel</w:t>
      </w:r>
      <w:r w:rsidRPr="00365E89">
        <w:rPr>
          <w:rFonts w:ascii="Arial" w:eastAsia="Tahoma" w:hAnsi="Arial" w:cs="Arial"/>
          <w:color w:val="000000"/>
          <w:sz w:val="24"/>
          <w:szCs w:val="24"/>
        </w:rPr>
        <w:t xml:space="preserve"> report, bid notices will only be tagged as COMPLY if the Notice of AWARD and the Notice to Proceed have been posted. Likewise, those NOTICES with multiple lots and PARTIALLY AWARDED, FAILED and CANCELLED NOTICES will also be </w:t>
      </w:r>
      <w:r w:rsidRPr="00365E89">
        <w:rPr>
          <w:rFonts w:ascii="Arial" w:eastAsia="Tahoma" w:hAnsi="Arial" w:cs="Arial"/>
          <w:sz w:val="24"/>
          <w:szCs w:val="24"/>
        </w:rPr>
        <w:t>considered COMPLY</w:t>
      </w:r>
      <w:r w:rsidRPr="00365E89">
        <w:rPr>
          <w:rFonts w:ascii="Arial" w:eastAsia="Tahoma" w:hAnsi="Arial" w:cs="Arial"/>
          <w:color w:val="000000"/>
          <w:sz w:val="24"/>
          <w:szCs w:val="24"/>
        </w:rPr>
        <w:t>. </w:t>
      </w:r>
    </w:p>
    <w:p w14:paraId="0000000A" w14:textId="77777777" w:rsidR="00E623D6" w:rsidRPr="00365E89" w:rsidRDefault="00E623D6">
      <w:pPr>
        <w:spacing w:after="0" w:line="240" w:lineRule="auto"/>
        <w:jc w:val="both"/>
        <w:rPr>
          <w:rFonts w:ascii="Arial" w:eastAsia="Tahoma" w:hAnsi="Arial" w:cs="Arial"/>
          <w:color w:val="000000"/>
          <w:sz w:val="24"/>
          <w:szCs w:val="24"/>
        </w:rPr>
      </w:pPr>
    </w:p>
    <w:p w14:paraId="0000000B" w14:textId="249BE9C9" w:rsidR="00E623D6" w:rsidRPr="00365E89" w:rsidRDefault="00C22E07">
      <w:pPr>
        <w:pBdr>
          <w:top w:val="nil"/>
          <w:left w:val="nil"/>
          <w:bottom w:val="nil"/>
          <w:right w:val="nil"/>
          <w:between w:val="nil"/>
        </w:pBdr>
        <w:spacing w:after="0" w:line="240" w:lineRule="auto"/>
        <w:jc w:val="both"/>
        <w:rPr>
          <w:rFonts w:ascii="Arial" w:eastAsia="Tahoma" w:hAnsi="Arial" w:cs="Arial"/>
          <w:color w:val="000000"/>
          <w:sz w:val="24"/>
          <w:szCs w:val="24"/>
        </w:rPr>
      </w:pPr>
      <w:r w:rsidRPr="00365E89">
        <w:rPr>
          <w:rFonts w:ascii="Arial" w:eastAsia="Tahoma" w:hAnsi="Arial" w:cs="Arial"/>
          <w:color w:val="000000"/>
          <w:sz w:val="24"/>
          <w:szCs w:val="24"/>
        </w:rPr>
        <w:t xml:space="preserve">If the agency is unable to update the system or post the BAC Resolution, Notices of Award/Bid Results, Actual Approved/Awarded Contracts and Notices to Proceed/Purchase Orders for public bidding transactions above one million (P1,000,000) in the </w:t>
      </w:r>
      <w:proofErr w:type="spellStart"/>
      <w:r w:rsidRPr="00365E89">
        <w:rPr>
          <w:rFonts w:ascii="Arial" w:eastAsia="Tahoma" w:hAnsi="Arial" w:cs="Arial"/>
          <w:color w:val="000000"/>
          <w:sz w:val="24"/>
          <w:szCs w:val="24"/>
        </w:rPr>
        <w:t>PhilGEPS</w:t>
      </w:r>
      <w:proofErr w:type="spellEnd"/>
      <w:r w:rsidRPr="00365E89">
        <w:rPr>
          <w:rFonts w:ascii="Arial" w:eastAsia="Tahoma" w:hAnsi="Arial" w:cs="Arial"/>
          <w:color w:val="000000"/>
          <w:sz w:val="24"/>
          <w:szCs w:val="24"/>
        </w:rPr>
        <w:t xml:space="preserve"> due to factors that are outside of </w:t>
      </w:r>
      <w:r w:rsidRPr="00365E89">
        <w:rPr>
          <w:rFonts w:ascii="Arial" w:eastAsia="Tahoma" w:hAnsi="Arial" w:cs="Arial"/>
          <w:sz w:val="24"/>
          <w:szCs w:val="24"/>
        </w:rPr>
        <w:t>their</w:t>
      </w:r>
      <w:r w:rsidRPr="00365E89">
        <w:rPr>
          <w:rFonts w:ascii="Arial" w:eastAsia="Tahoma" w:hAnsi="Arial" w:cs="Arial"/>
          <w:color w:val="000000"/>
          <w:sz w:val="24"/>
          <w:szCs w:val="24"/>
        </w:rPr>
        <w:t xml:space="preserve"> control, the agency is no longer required to submit a letter of justification to </w:t>
      </w:r>
      <w:proofErr w:type="spellStart"/>
      <w:r w:rsidRPr="00365E89">
        <w:rPr>
          <w:rFonts w:ascii="Arial" w:eastAsia="Tahoma" w:hAnsi="Arial" w:cs="Arial"/>
          <w:color w:val="000000"/>
          <w:sz w:val="24"/>
          <w:szCs w:val="24"/>
        </w:rPr>
        <w:t>PhilGEPS</w:t>
      </w:r>
      <w:proofErr w:type="spellEnd"/>
      <w:r w:rsidRPr="00365E89">
        <w:rPr>
          <w:rFonts w:ascii="Arial" w:eastAsia="Tahoma" w:hAnsi="Arial" w:cs="Arial"/>
          <w:color w:val="000000"/>
          <w:sz w:val="24"/>
          <w:szCs w:val="24"/>
        </w:rPr>
        <w:t xml:space="preserve">/AO25 IATF. </w:t>
      </w:r>
    </w:p>
    <w:p w14:paraId="0000000C" w14:textId="77777777" w:rsidR="00E623D6" w:rsidRPr="00365E89" w:rsidRDefault="00E623D6">
      <w:pPr>
        <w:pBdr>
          <w:top w:val="nil"/>
          <w:left w:val="nil"/>
          <w:bottom w:val="nil"/>
          <w:right w:val="nil"/>
          <w:between w:val="nil"/>
        </w:pBdr>
        <w:spacing w:after="0" w:line="240" w:lineRule="auto"/>
        <w:jc w:val="both"/>
        <w:rPr>
          <w:rFonts w:ascii="Arial" w:eastAsia="Tahoma" w:hAnsi="Arial" w:cs="Arial"/>
          <w:color w:val="000000"/>
          <w:sz w:val="24"/>
          <w:szCs w:val="24"/>
        </w:rPr>
      </w:pPr>
    </w:p>
    <w:p w14:paraId="0000000D" w14:textId="77777777" w:rsidR="00E623D6" w:rsidRPr="00365E89" w:rsidRDefault="00C22E07">
      <w:pPr>
        <w:pBdr>
          <w:top w:val="nil"/>
          <w:left w:val="nil"/>
          <w:bottom w:val="nil"/>
          <w:right w:val="nil"/>
          <w:between w:val="nil"/>
        </w:pBdr>
        <w:spacing w:after="0" w:line="240" w:lineRule="auto"/>
        <w:jc w:val="both"/>
        <w:rPr>
          <w:rFonts w:ascii="Arial" w:eastAsia="Tahoma" w:hAnsi="Arial" w:cs="Arial"/>
          <w:color w:val="000000"/>
          <w:sz w:val="24"/>
          <w:szCs w:val="24"/>
        </w:rPr>
      </w:pPr>
      <w:r w:rsidRPr="00365E89">
        <w:rPr>
          <w:rFonts w:ascii="Arial" w:eastAsia="Tahoma" w:hAnsi="Arial" w:cs="Arial"/>
          <w:color w:val="000000"/>
          <w:sz w:val="24"/>
          <w:szCs w:val="24"/>
        </w:rPr>
        <w:t xml:space="preserve">The Agency Head, with the help of </w:t>
      </w:r>
      <w:r w:rsidRPr="00365E89">
        <w:rPr>
          <w:rFonts w:ascii="Arial" w:eastAsia="Tahoma" w:hAnsi="Arial" w:cs="Arial"/>
          <w:sz w:val="24"/>
          <w:szCs w:val="24"/>
        </w:rPr>
        <w:t>its</w:t>
      </w:r>
      <w:r w:rsidRPr="00365E89">
        <w:rPr>
          <w:rFonts w:ascii="Arial" w:eastAsia="Tahoma" w:hAnsi="Arial" w:cs="Arial"/>
          <w:color w:val="000000"/>
          <w:sz w:val="24"/>
          <w:szCs w:val="24"/>
        </w:rPr>
        <w:t xml:space="preserve"> Performance Management Teams, shall continue to implement, monitor, and enforce compliance with the </w:t>
      </w:r>
      <w:proofErr w:type="spellStart"/>
      <w:r w:rsidRPr="00365E89">
        <w:rPr>
          <w:rFonts w:ascii="Arial" w:eastAsia="Tahoma" w:hAnsi="Arial" w:cs="Arial"/>
          <w:color w:val="000000"/>
          <w:sz w:val="24"/>
          <w:szCs w:val="24"/>
        </w:rPr>
        <w:t>PhilGEPS</w:t>
      </w:r>
      <w:proofErr w:type="spellEnd"/>
      <w:r w:rsidRPr="00365E89">
        <w:rPr>
          <w:rFonts w:ascii="Arial" w:eastAsia="Tahoma" w:hAnsi="Arial" w:cs="Arial"/>
          <w:color w:val="000000"/>
          <w:sz w:val="24"/>
          <w:szCs w:val="24"/>
        </w:rPr>
        <w:t xml:space="preserve"> requirements</w:t>
      </w:r>
      <w:r w:rsidRPr="00365E89">
        <w:rPr>
          <w:rFonts w:ascii="Arial" w:eastAsia="Tahoma" w:hAnsi="Arial" w:cs="Arial"/>
          <w:sz w:val="24"/>
          <w:szCs w:val="24"/>
        </w:rPr>
        <w:t>. Justification</w:t>
      </w:r>
      <w:r w:rsidRPr="00365E89">
        <w:rPr>
          <w:rFonts w:ascii="Arial" w:eastAsia="Tahoma" w:hAnsi="Arial" w:cs="Arial"/>
          <w:color w:val="000000"/>
          <w:sz w:val="24"/>
          <w:szCs w:val="24"/>
        </w:rPr>
        <w:t xml:space="preserve"> shall be subject to the self-assessment of the agency whether acceptable or not. Compliance with these conditions shall still be used as the basis in determining the eligibility of responsible units and individuals.</w:t>
      </w:r>
    </w:p>
    <w:p w14:paraId="0000000E" w14:textId="0C6487AF" w:rsidR="00E623D6" w:rsidRDefault="00E623D6">
      <w:pPr>
        <w:spacing w:after="0" w:line="240" w:lineRule="auto"/>
        <w:jc w:val="both"/>
        <w:rPr>
          <w:rFonts w:ascii="Arial" w:eastAsia="Tahoma" w:hAnsi="Arial" w:cs="Arial"/>
          <w:sz w:val="24"/>
          <w:szCs w:val="24"/>
        </w:rPr>
      </w:pPr>
    </w:p>
    <w:p w14:paraId="07B5F8E1" w14:textId="6B197AF8" w:rsidR="00365E89" w:rsidRPr="00365E89" w:rsidRDefault="00365E89" w:rsidP="00365E89">
      <w:pPr>
        <w:rPr>
          <w:rFonts w:ascii="Arial" w:eastAsia="Tahoma" w:hAnsi="Arial" w:cs="Arial"/>
          <w:sz w:val="24"/>
          <w:szCs w:val="24"/>
        </w:rPr>
      </w:pPr>
    </w:p>
    <w:p w14:paraId="4B8F74E1" w14:textId="5983AE15" w:rsidR="00365E89" w:rsidRPr="00365E89" w:rsidRDefault="00365E89" w:rsidP="00365E89">
      <w:pPr>
        <w:rPr>
          <w:rFonts w:ascii="Arial" w:eastAsia="Tahoma" w:hAnsi="Arial" w:cs="Arial"/>
          <w:sz w:val="24"/>
          <w:szCs w:val="24"/>
        </w:rPr>
      </w:pPr>
    </w:p>
    <w:p w14:paraId="2BBA4D5F" w14:textId="25370503" w:rsidR="00365E89" w:rsidRPr="00365E89" w:rsidRDefault="00365E89" w:rsidP="00365E89">
      <w:pPr>
        <w:rPr>
          <w:rFonts w:ascii="Arial" w:eastAsia="Tahoma" w:hAnsi="Arial" w:cs="Arial"/>
          <w:sz w:val="24"/>
          <w:szCs w:val="24"/>
        </w:rPr>
      </w:pPr>
    </w:p>
    <w:p w14:paraId="4AC81337" w14:textId="7895F7A0" w:rsidR="00365E89" w:rsidRPr="00365E89" w:rsidRDefault="00365E89" w:rsidP="00365E89">
      <w:pPr>
        <w:rPr>
          <w:rFonts w:ascii="Arial" w:eastAsia="Tahoma" w:hAnsi="Arial" w:cs="Arial"/>
          <w:sz w:val="24"/>
          <w:szCs w:val="24"/>
        </w:rPr>
      </w:pPr>
    </w:p>
    <w:p w14:paraId="2C499C61" w14:textId="1F00F468" w:rsidR="00365E89" w:rsidRPr="00365E89" w:rsidRDefault="00365E89" w:rsidP="00365E89">
      <w:pPr>
        <w:rPr>
          <w:rFonts w:ascii="Arial" w:eastAsia="Tahoma" w:hAnsi="Arial" w:cs="Arial"/>
          <w:sz w:val="24"/>
          <w:szCs w:val="24"/>
        </w:rPr>
      </w:pPr>
    </w:p>
    <w:p w14:paraId="02ACF1FB" w14:textId="3FCBE680" w:rsidR="00365E89" w:rsidRPr="00365E89" w:rsidRDefault="00365E89" w:rsidP="00365E89">
      <w:pPr>
        <w:rPr>
          <w:rFonts w:ascii="Arial" w:eastAsia="Tahoma" w:hAnsi="Arial" w:cs="Arial"/>
          <w:sz w:val="24"/>
          <w:szCs w:val="24"/>
        </w:rPr>
      </w:pPr>
    </w:p>
    <w:p w14:paraId="0C569ED0" w14:textId="721741AA" w:rsidR="00365E89" w:rsidRPr="00365E89" w:rsidRDefault="00365E89" w:rsidP="00365E89">
      <w:pPr>
        <w:rPr>
          <w:rFonts w:ascii="Arial" w:eastAsia="Tahoma" w:hAnsi="Arial" w:cs="Arial"/>
          <w:sz w:val="24"/>
          <w:szCs w:val="24"/>
        </w:rPr>
      </w:pPr>
    </w:p>
    <w:p w14:paraId="013F0821" w14:textId="6A2786B8" w:rsidR="00365E89" w:rsidRPr="00365E89" w:rsidRDefault="00365E89" w:rsidP="00365E89">
      <w:pPr>
        <w:rPr>
          <w:rFonts w:ascii="Arial" w:eastAsia="Tahoma" w:hAnsi="Arial" w:cs="Arial"/>
          <w:sz w:val="24"/>
          <w:szCs w:val="24"/>
        </w:rPr>
      </w:pPr>
    </w:p>
    <w:p w14:paraId="09682B8C" w14:textId="77777777" w:rsidR="00365E89" w:rsidRPr="00365E89" w:rsidRDefault="00365E89" w:rsidP="00365E89">
      <w:pPr>
        <w:jc w:val="right"/>
        <w:rPr>
          <w:rFonts w:ascii="Arial" w:eastAsia="Tahoma" w:hAnsi="Arial" w:cs="Arial"/>
          <w:sz w:val="24"/>
          <w:szCs w:val="24"/>
        </w:rPr>
      </w:pPr>
      <w:bookmarkStart w:id="1" w:name="_GoBack"/>
      <w:bookmarkEnd w:id="1"/>
    </w:p>
    <w:sectPr w:rsidR="00365E89" w:rsidRPr="00365E89">
      <w:footerReference w:type="default" r:id="rId8"/>
      <w:pgSz w:w="12240" w:h="15840"/>
      <w:pgMar w:top="720" w:right="1041" w:bottom="900" w:left="1134"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0E5F460" w14:textId="77777777" w:rsidR="000E5236" w:rsidRDefault="000E5236">
      <w:pPr>
        <w:spacing w:after="0" w:line="240" w:lineRule="auto"/>
      </w:pPr>
      <w:r>
        <w:separator/>
      </w:r>
    </w:p>
  </w:endnote>
  <w:endnote w:type="continuationSeparator" w:id="0">
    <w:p w14:paraId="323BB0F6" w14:textId="77777777" w:rsidR="000E5236" w:rsidRDefault="000E523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000000F" w14:textId="77777777" w:rsidR="00E623D6" w:rsidRPr="00365E89" w:rsidRDefault="00C22E07">
    <w:pPr>
      <w:pBdr>
        <w:top w:val="nil"/>
        <w:left w:val="nil"/>
        <w:bottom w:val="nil"/>
        <w:right w:val="nil"/>
        <w:between w:val="nil"/>
      </w:pBdr>
      <w:tabs>
        <w:tab w:val="center" w:pos="4680"/>
        <w:tab w:val="right" w:pos="9360"/>
      </w:tabs>
      <w:spacing w:after="0" w:line="240" w:lineRule="auto"/>
      <w:jc w:val="right"/>
      <w:rPr>
        <w:rFonts w:ascii="Arial" w:hAnsi="Arial" w:cs="Arial"/>
        <w:b/>
        <w:color w:val="000000"/>
        <w:sz w:val="20"/>
        <w:szCs w:val="20"/>
      </w:rPr>
    </w:pPr>
    <w:r w:rsidRPr="00365E89">
      <w:rPr>
        <w:rFonts w:ascii="Arial" w:hAnsi="Arial" w:cs="Arial"/>
        <w:color w:val="000000"/>
        <w:sz w:val="20"/>
        <w:szCs w:val="20"/>
      </w:rPr>
      <w:t xml:space="preserve">Page </w:t>
    </w:r>
    <w:r w:rsidRPr="00365E89">
      <w:rPr>
        <w:rFonts w:ascii="Arial" w:hAnsi="Arial" w:cs="Arial"/>
        <w:b/>
        <w:color w:val="000000"/>
        <w:sz w:val="20"/>
        <w:szCs w:val="20"/>
      </w:rPr>
      <w:fldChar w:fldCharType="begin"/>
    </w:r>
    <w:r w:rsidRPr="00365E89">
      <w:rPr>
        <w:rFonts w:ascii="Arial" w:hAnsi="Arial" w:cs="Arial"/>
        <w:b/>
        <w:color w:val="000000"/>
        <w:sz w:val="20"/>
        <w:szCs w:val="20"/>
      </w:rPr>
      <w:instrText>PAGE</w:instrText>
    </w:r>
    <w:r w:rsidRPr="00365E89">
      <w:rPr>
        <w:rFonts w:ascii="Arial" w:hAnsi="Arial" w:cs="Arial"/>
        <w:b/>
        <w:color w:val="000000"/>
        <w:sz w:val="20"/>
        <w:szCs w:val="20"/>
      </w:rPr>
      <w:fldChar w:fldCharType="separate"/>
    </w:r>
    <w:r w:rsidR="00F15B05" w:rsidRPr="00365E89">
      <w:rPr>
        <w:rFonts w:ascii="Arial" w:hAnsi="Arial" w:cs="Arial"/>
        <w:b/>
        <w:noProof/>
        <w:color w:val="000000"/>
        <w:sz w:val="20"/>
        <w:szCs w:val="20"/>
      </w:rPr>
      <w:t>1</w:t>
    </w:r>
    <w:r w:rsidRPr="00365E89">
      <w:rPr>
        <w:rFonts w:ascii="Arial" w:hAnsi="Arial" w:cs="Arial"/>
        <w:b/>
        <w:color w:val="000000"/>
        <w:sz w:val="20"/>
        <w:szCs w:val="20"/>
      </w:rPr>
      <w:fldChar w:fldCharType="end"/>
    </w:r>
    <w:r w:rsidRPr="00365E89">
      <w:rPr>
        <w:rFonts w:ascii="Arial" w:hAnsi="Arial" w:cs="Arial"/>
        <w:color w:val="000000"/>
        <w:sz w:val="20"/>
        <w:szCs w:val="20"/>
      </w:rPr>
      <w:t xml:space="preserve"> of </w:t>
    </w:r>
    <w:r w:rsidRPr="00365E89">
      <w:rPr>
        <w:rFonts w:ascii="Arial" w:hAnsi="Arial" w:cs="Arial"/>
        <w:b/>
        <w:color w:val="000000"/>
        <w:sz w:val="20"/>
        <w:szCs w:val="20"/>
      </w:rPr>
      <w:fldChar w:fldCharType="begin"/>
    </w:r>
    <w:r w:rsidRPr="00365E89">
      <w:rPr>
        <w:rFonts w:ascii="Arial" w:hAnsi="Arial" w:cs="Arial"/>
        <w:b/>
        <w:color w:val="000000"/>
        <w:sz w:val="20"/>
        <w:szCs w:val="20"/>
      </w:rPr>
      <w:instrText>NUMPAGES</w:instrText>
    </w:r>
    <w:r w:rsidRPr="00365E89">
      <w:rPr>
        <w:rFonts w:ascii="Arial" w:hAnsi="Arial" w:cs="Arial"/>
        <w:b/>
        <w:color w:val="000000"/>
        <w:sz w:val="20"/>
        <w:szCs w:val="20"/>
      </w:rPr>
      <w:fldChar w:fldCharType="separate"/>
    </w:r>
    <w:r w:rsidR="00F15B05" w:rsidRPr="00365E89">
      <w:rPr>
        <w:rFonts w:ascii="Arial" w:hAnsi="Arial" w:cs="Arial"/>
        <w:b/>
        <w:noProof/>
        <w:color w:val="000000"/>
        <w:sz w:val="20"/>
        <w:szCs w:val="20"/>
      </w:rPr>
      <w:t>1</w:t>
    </w:r>
    <w:r w:rsidRPr="00365E89">
      <w:rPr>
        <w:rFonts w:ascii="Arial" w:hAnsi="Arial" w:cs="Arial"/>
        <w:b/>
        <w:color w:val="000000"/>
        <w:sz w:val="20"/>
        <w:szCs w:val="20"/>
      </w:rPr>
      <w:fldChar w:fldCharType="end"/>
    </w:r>
  </w:p>
  <w:p w14:paraId="00000010" w14:textId="14FD659E" w:rsidR="00E623D6" w:rsidRPr="00365E89" w:rsidRDefault="00C22E07">
    <w:pPr>
      <w:pBdr>
        <w:top w:val="nil"/>
        <w:left w:val="nil"/>
        <w:bottom w:val="nil"/>
        <w:right w:val="nil"/>
        <w:between w:val="nil"/>
      </w:pBdr>
      <w:tabs>
        <w:tab w:val="center" w:pos="4680"/>
        <w:tab w:val="right" w:pos="9360"/>
      </w:tabs>
      <w:spacing w:after="0" w:line="240" w:lineRule="auto"/>
      <w:jc w:val="right"/>
      <w:rPr>
        <w:rFonts w:ascii="Arial" w:hAnsi="Arial" w:cs="Arial"/>
        <w:color w:val="000000"/>
        <w:sz w:val="20"/>
        <w:szCs w:val="20"/>
      </w:rPr>
    </w:pPr>
    <w:r w:rsidRPr="00365E89">
      <w:rPr>
        <w:rFonts w:ascii="Arial" w:hAnsi="Arial" w:cs="Arial"/>
        <w:color w:val="000000"/>
        <w:sz w:val="20"/>
        <w:szCs w:val="20"/>
      </w:rPr>
      <w:t xml:space="preserve">Annex </w:t>
    </w:r>
    <w:r w:rsidR="00F02ED4">
      <w:rPr>
        <w:rFonts w:ascii="Arial" w:hAnsi="Arial" w:cs="Arial"/>
        <w:color w:val="000000"/>
        <w:sz w:val="20"/>
        <w:szCs w:val="20"/>
      </w:rPr>
      <w:t>7</w:t>
    </w:r>
  </w:p>
  <w:p w14:paraId="00000011" w14:textId="77777777" w:rsidR="00E623D6" w:rsidRPr="00365E89" w:rsidRDefault="00E623D6">
    <w:pPr>
      <w:pBdr>
        <w:top w:val="nil"/>
        <w:left w:val="nil"/>
        <w:bottom w:val="nil"/>
        <w:right w:val="nil"/>
        <w:between w:val="nil"/>
      </w:pBdr>
      <w:tabs>
        <w:tab w:val="center" w:pos="4680"/>
        <w:tab w:val="right" w:pos="9360"/>
      </w:tabs>
      <w:spacing w:after="0" w:line="240" w:lineRule="auto"/>
      <w:rPr>
        <w:rFonts w:ascii="Arial" w:hAnsi="Arial" w:cs="Arial"/>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844415B" w14:textId="77777777" w:rsidR="000E5236" w:rsidRDefault="000E5236">
      <w:pPr>
        <w:spacing w:after="0" w:line="240" w:lineRule="auto"/>
      </w:pPr>
      <w:r>
        <w:separator/>
      </w:r>
    </w:p>
  </w:footnote>
  <w:footnote w:type="continuationSeparator" w:id="0">
    <w:p w14:paraId="624EC3C9" w14:textId="77777777" w:rsidR="000E5236" w:rsidRDefault="000E5236">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ayNDIwNze2NDAyMbM0sTBV0lEKTi0uzszPAykwrAUAGu1w0iwAAAA="/>
  </w:docVars>
  <w:rsids>
    <w:rsidRoot w:val="00E623D6"/>
    <w:rsid w:val="000E5236"/>
    <w:rsid w:val="0036178E"/>
    <w:rsid w:val="00365E89"/>
    <w:rsid w:val="00706381"/>
    <w:rsid w:val="00B358A1"/>
    <w:rsid w:val="00C22E07"/>
    <w:rsid w:val="00E623D6"/>
    <w:rsid w:val="00F02ED4"/>
    <w:rsid w:val="00F15B05"/>
  </w:rsids>
  <m:mathPr>
    <m:mathFont m:val="Cambria Math"/>
    <m:brkBin m:val="before"/>
    <m:brkBinSub m:val="--"/>
    <m:smallFrac m:val="0"/>
    <m:dispDef/>
    <m:lMargin m:val="0"/>
    <m:rMargin m:val="0"/>
    <m:defJc m:val="centerGroup"/>
    <m:wrapIndent m:val="1440"/>
    <m:intLim m:val="subSup"/>
    <m:naryLim m:val="undOvr"/>
  </m:mathPr>
  <w:themeFontLang w:val="en-PH"/>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F03DA3"/>
  <w15:docId w15:val="{C404985F-BCD2-446E-A5BB-9D20974AC0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Calibri"/>
        <w:sz w:val="22"/>
        <w:szCs w:val="22"/>
        <w:lang w:val="en-PH" w:eastAsia="en-PH"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character" w:customStyle="1" w:styleId="apple-converted-space">
    <w:name w:val="apple-converted-space"/>
    <w:basedOn w:val="DefaultParagraphFont"/>
    <w:rsid w:val="001D65FD"/>
  </w:style>
  <w:style w:type="character" w:customStyle="1" w:styleId="il">
    <w:name w:val="il"/>
    <w:basedOn w:val="DefaultParagraphFont"/>
    <w:rsid w:val="001D65FD"/>
  </w:style>
  <w:style w:type="character" w:styleId="Hyperlink">
    <w:name w:val="Hyperlink"/>
    <w:basedOn w:val="DefaultParagraphFont"/>
    <w:uiPriority w:val="99"/>
    <w:unhideWhenUsed/>
    <w:rsid w:val="001D65FD"/>
    <w:rPr>
      <w:color w:val="0000FF"/>
      <w:u w:val="single"/>
    </w:rPr>
  </w:style>
  <w:style w:type="table" w:styleId="TableGrid">
    <w:name w:val="Table Grid"/>
    <w:basedOn w:val="TableNormal"/>
    <w:uiPriority w:val="59"/>
    <w:rsid w:val="001D65F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287162"/>
    <w:pPr>
      <w:tabs>
        <w:tab w:val="center" w:pos="4680"/>
        <w:tab w:val="right" w:pos="9360"/>
      </w:tabs>
      <w:spacing w:after="0" w:line="240" w:lineRule="auto"/>
    </w:pPr>
  </w:style>
  <w:style w:type="character" w:customStyle="1" w:styleId="HeaderChar">
    <w:name w:val="Header Char"/>
    <w:basedOn w:val="DefaultParagraphFont"/>
    <w:link w:val="Header"/>
    <w:uiPriority w:val="99"/>
    <w:rsid w:val="00287162"/>
  </w:style>
  <w:style w:type="paragraph" w:styleId="Footer">
    <w:name w:val="footer"/>
    <w:basedOn w:val="Normal"/>
    <w:link w:val="FooterChar"/>
    <w:uiPriority w:val="99"/>
    <w:unhideWhenUsed/>
    <w:rsid w:val="00287162"/>
    <w:pPr>
      <w:tabs>
        <w:tab w:val="center" w:pos="4680"/>
        <w:tab w:val="right" w:pos="9360"/>
      </w:tabs>
      <w:spacing w:after="0" w:line="240" w:lineRule="auto"/>
    </w:pPr>
  </w:style>
  <w:style w:type="character" w:customStyle="1" w:styleId="FooterChar">
    <w:name w:val="Footer Char"/>
    <w:basedOn w:val="DefaultParagraphFont"/>
    <w:link w:val="Footer"/>
    <w:uiPriority w:val="99"/>
    <w:rsid w:val="00287162"/>
  </w:style>
  <w:style w:type="paragraph" w:styleId="NoSpacing">
    <w:name w:val="No Spacing"/>
    <w:uiPriority w:val="1"/>
    <w:qFormat/>
    <w:rsid w:val="00AB4A14"/>
    <w:pPr>
      <w:spacing w:after="0" w:line="240" w:lineRule="auto"/>
    </w:p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0" w:type="dxa"/>
        <w:right w:w="0" w:type="dxa"/>
      </w:tblCellMar>
    </w:tblPr>
  </w:style>
  <w:style w:type="table" w:customStyle="1" w:styleId="a0">
    <w:basedOn w:val="TableNormal"/>
    <w:pPr>
      <w:spacing w:after="0" w:line="240" w:lineRule="auto"/>
    </w:pPr>
    <w:tblPr>
      <w:tblStyleRowBandSize w:val="1"/>
      <w:tblStyleColBandSize w:val="1"/>
    </w:tblPr>
  </w:style>
  <w:style w:type="paragraph" w:styleId="BalloonText">
    <w:name w:val="Balloon Text"/>
    <w:basedOn w:val="Normal"/>
    <w:link w:val="BalloonTextChar"/>
    <w:uiPriority w:val="99"/>
    <w:semiHidden/>
    <w:unhideWhenUsed/>
    <w:rsid w:val="009141E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141EB"/>
    <w:rPr>
      <w:rFonts w:ascii="Segoe UI" w:hAnsi="Segoe UI" w:cs="Segoe UI"/>
      <w:sz w:val="18"/>
      <w:szCs w:val="18"/>
    </w:rPr>
  </w:style>
  <w:style w:type="paragraph" w:styleId="NormalWeb">
    <w:name w:val="Normal (Web)"/>
    <w:basedOn w:val="Normal"/>
    <w:uiPriority w:val="99"/>
    <w:semiHidden/>
    <w:unhideWhenUsed/>
    <w:rsid w:val="00221509"/>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s://open.philgeps.gov.ph/pbb"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Fw8rxo8x4gnSFdH9H0xhS4Jq3vQ==">AMUW2mWVdzV1vxqebp5Rvf10X3aob9FDKzFVIgM5sN/y2Hv+evQN/zy3+ok9rHcW26tvr9GqeO9oX8wTkQJohORnuMGBP51mCiXK52kJu0lokZA0Y4Vz9v0kw6blf5MtAzlXLVoMSHrp+MXl2Mzl/+M/e5HOZ0aTa81zibhXKt+z55vLBc+agKwZuDT4Y7Pt3t0pIsbcKyE8</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Pages>
  <Words>283</Words>
  <Characters>1618</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HP Inc.</Company>
  <LinksUpToDate>false</LinksUpToDate>
  <CharactersWithSpaces>1898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UserPC</dc:creator>
  <cp:lastModifiedBy>TENGSON, CRISMEL DARA G.</cp:lastModifiedBy>
  <cp:revision>7</cp:revision>
  <cp:lastPrinted>2022-03-22T08:12:00Z</cp:lastPrinted>
  <dcterms:created xsi:type="dcterms:W3CDTF">2022-02-28T03:18:00Z</dcterms:created>
  <dcterms:modified xsi:type="dcterms:W3CDTF">2022-03-22T08:12:00Z</dcterms:modified>
</cp:coreProperties>
</file>