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94425" w14:textId="7F2E20C1" w:rsidR="00583B22" w:rsidRPr="004A2162" w:rsidRDefault="00583B22" w:rsidP="00DE5B94">
      <w:pPr>
        <w:spacing w:line="240" w:lineRule="auto"/>
        <w:jc w:val="right"/>
        <w:rPr>
          <w:b/>
          <w:i/>
          <w:iCs/>
        </w:rPr>
      </w:pPr>
      <w:r w:rsidRPr="004A2162">
        <w:rPr>
          <w:b/>
          <w:i/>
          <w:iCs/>
          <w:sz w:val="24"/>
          <w:szCs w:val="24"/>
        </w:rPr>
        <w:t xml:space="preserve">Annex </w:t>
      </w:r>
      <w:r w:rsidR="00F76615">
        <w:rPr>
          <w:b/>
          <w:i/>
          <w:iCs/>
          <w:sz w:val="24"/>
          <w:szCs w:val="24"/>
        </w:rPr>
        <w:t>6</w:t>
      </w:r>
    </w:p>
    <w:p w14:paraId="76A30BC2" w14:textId="77777777" w:rsidR="00583B22" w:rsidRDefault="00583B22">
      <w:pPr>
        <w:spacing w:line="240" w:lineRule="auto"/>
        <w:jc w:val="center"/>
        <w:rPr>
          <w:b/>
          <w:sz w:val="28"/>
          <w:szCs w:val="28"/>
        </w:rPr>
      </w:pPr>
    </w:p>
    <w:p w14:paraId="2AB84BE4" w14:textId="77777777" w:rsidR="00583B22" w:rsidRPr="00583B22" w:rsidRDefault="00583B22">
      <w:pPr>
        <w:spacing w:line="240" w:lineRule="auto"/>
        <w:jc w:val="center"/>
        <w:rPr>
          <w:b/>
          <w:sz w:val="24"/>
          <w:szCs w:val="24"/>
        </w:rPr>
      </w:pPr>
    </w:p>
    <w:p w14:paraId="00000002" w14:textId="577E7E18" w:rsidR="0077736F" w:rsidRPr="00583B22" w:rsidRDefault="00583B22">
      <w:pPr>
        <w:spacing w:line="240" w:lineRule="auto"/>
        <w:jc w:val="center"/>
        <w:rPr>
          <w:b/>
          <w:sz w:val="24"/>
          <w:szCs w:val="24"/>
        </w:rPr>
      </w:pPr>
      <w:r w:rsidRPr="00583B22">
        <w:rPr>
          <w:b/>
          <w:sz w:val="24"/>
          <w:szCs w:val="24"/>
        </w:rPr>
        <w:t xml:space="preserve">FY 2022 </w:t>
      </w:r>
      <w:r w:rsidR="006A093D" w:rsidRPr="00583B22">
        <w:rPr>
          <w:b/>
          <w:sz w:val="24"/>
          <w:szCs w:val="24"/>
        </w:rPr>
        <w:t>Agency Accountability Timelines</w:t>
      </w:r>
    </w:p>
    <w:p w14:paraId="00000004" w14:textId="77777777" w:rsidR="0077736F" w:rsidRDefault="0077736F">
      <w:pPr>
        <w:spacing w:line="240" w:lineRule="auto"/>
        <w:jc w:val="both"/>
        <w:rPr>
          <w:sz w:val="24"/>
          <w:szCs w:val="24"/>
        </w:rPr>
      </w:pPr>
      <w:bookmarkStart w:id="0" w:name="_heading=h.1fob9te" w:colFirst="0" w:colLast="0"/>
      <w:bookmarkEnd w:id="0"/>
    </w:p>
    <w:p w14:paraId="5F21E5B6" w14:textId="63253FC5" w:rsidR="007A2889" w:rsidRDefault="006A093D">
      <w:pPr>
        <w:spacing w:line="240" w:lineRule="auto"/>
        <w:jc w:val="both"/>
        <w:rPr>
          <w:sz w:val="24"/>
          <w:szCs w:val="24"/>
        </w:rPr>
      </w:pPr>
      <w:bookmarkStart w:id="1" w:name="_heading=h.3znysh7" w:colFirst="0" w:colLast="0"/>
      <w:bookmarkEnd w:id="1"/>
      <w:r>
        <w:rPr>
          <w:sz w:val="24"/>
          <w:szCs w:val="24"/>
        </w:rPr>
        <w:t xml:space="preserve">For reference, agencies should observe the timelines and comply with the following requirements </w:t>
      </w:r>
      <w:r w:rsidRPr="007A2889">
        <w:rPr>
          <w:sz w:val="24"/>
          <w:szCs w:val="24"/>
        </w:rPr>
        <w:t>under Section 5.0</w:t>
      </w:r>
      <w:r w:rsidR="00E81B64" w:rsidRPr="007A2889">
        <w:rPr>
          <w:sz w:val="24"/>
          <w:szCs w:val="24"/>
        </w:rPr>
        <w:t xml:space="preserve">: Agency Accountabilities </w:t>
      </w:r>
      <w:r w:rsidR="00DE5B94">
        <w:rPr>
          <w:sz w:val="24"/>
          <w:szCs w:val="24"/>
        </w:rPr>
        <w:t>of MC No. 2022-1</w:t>
      </w:r>
      <w:r w:rsidR="00B47825">
        <w:rPr>
          <w:sz w:val="24"/>
          <w:szCs w:val="24"/>
        </w:rPr>
        <w:t>:</w:t>
      </w:r>
    </w:p>
    <w:p w14:paraId="003A969C" w14:textId="62B09C7C" w:rsidR="007A2889" w:rsidRDefault="007A2889">
      <w:pPr>
        <w:spacing w:line="240" w:lineRule="auto"/>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5670"/>
        <w:gridCol w:w="1842"/>
      </w:tblGrid>
      <w:tr w:rsidR="00384A4D" w:rsidRPr="007A2889" w14:paraId="7F7DE389" w14:textId="0E51D868" w:rsidTr="00A70A2F">
        <w:trPr>
          <w:trHeight w:val="300"/>
          <w:tblHeader/>
        </w:trPr>
        <w:tc>
          <w:tcPr>
            <w:tcW w:w="2122" w:type="dxa"/>
            <w:shd w:val="clear" w:color="auto" w:fill="000000"/>
            <w:tcMar>
              <w:top w:w="0" w:type="dxa"/>
              <w:left w:w="45" w:type="dxa"/>
              <w:bottom w:w="0" w:type="dxa"/>
              <w:right w:w="45" w:type="dxa"/>
            </w:tcMar>
            <w:vAlign w:val="bottom"/>
            <w:hideMark/>
          </w:tcPr>
          <w:p w14:paraId="72F909A9" w14:textId="634CA676" w:rsidR="00384A4D" w:rsidRPr="007A2889" w:rsidRDefault="00384A4D" w:rsidP="00583B22">
            <w:pPr>
              <w:spacing w:line="240" w:lineRule="auto"/>
              <w:jc w:val="center"/>
              <w:rPr>
                <w:rFonts w:eastAsia="Times New Roman"/>
                <w:b/>
                <w:bCs/>
                <w:color w:val="FFFFFF"/>
                <w:sz w:val="24"/>
                <w:szCs w:val="24"/>
                <w:lang w:val="en-PH"/>
              </w:rPr>
            </w:pPr>
            <w:r w:rsidRPr="004E6AE5">
              <w:rPr>
                <w:rFonts w:eastAsia="Times New Roman"/>
                <w:b/>
                <w:bCs/>
                <w:color w:val="FFFFFF"/>
                <w:sz w:val="24"/>
                <w:szCs w:val="24"/>
                <w:lang w:val="en-PH"/>
              </w:rPr>
              <w:t>DEADLINE</w:t>
            </w:r>
          </w:p>
        </w:tc>
        <w:tc>
          <w:tcPr>
            <w:tcW w:w="5670" w:type="dxa"/>
            <w:shd w:val="clear" w:color="auto" w:fill="000000"/>
            <w:tcMar>
              <w:top w:w="0" w:type="dxa"/>
              <w:left w:w="45" w:type="dxa"/>
              <w:bottom w:w="0" w:type="dxa"/>
              <w:right w:w="45" w:type="dxa"/>
            </w:tcMar>
            <w:vAlign w:val="bottom"/>
            <w:hideMark/>
          </w:tcPr>
          <w:p w14:paraId="56F4917A" w14:textId="12F4453A" w:rsidR="00384A4D" w:rsidRPr="007A2889" w:rsidRDefault="00384A4D" w:rsidP="007A2889">
            <w:pPr>
              <w:spacing w:line="240" w:lineRule="auto"/>
              <w:jc w:val="center"/>
              <w:rPr>
                <w:rFonts w:eastAsia="Times New Roman"/>
                <w:b/>
                <w:bCs/>
                <w:color w:val="FFFFFF"/>
                <w:sz w:val="24"/>
                <w:szCs w:val="24"/>
                <w:lang w:val="en-PH"/>
              </w:rPr>
            </w:pPr>
            <w:r w:rsidRPr="004E6AE5">
              <w:rPr>
                <w:rFonts w:eastAsia="Times New Roman"/>
                <w:b/>
                <w:bCs/>
                <w:color w:val="FFFFFF"/>
                <w:sz w:val="24"/>
                <w:szCs w:val="24"/>
                <w:lang w:val="en-PH"/>
              </w:rPr>
              <w:t>REQUIREMENTS</w:t>
            </w:r>
          </w:p>
        </w:tc>
        <w:tc>
          <w:tcPr>
            <w:tcW w:w="1842" w:type="dxa"/>
            <w:shd w:val="clear" w:color="auto" w:fill="000000"/>
          </w:tcPr>
          <w:p w14:paraId="74E7D197" w14:textId="7371EB78" w:rsidR="00384A4D" w:rsidRPr="004E6AE5" w:rsidRDefault="00384A4D" w:rsidP="007A2889">
            <w:pPr>
              <w:spacing w:line="240" w:lineRule="auto"/>
              <w:jc w:val="center"/>
              <w:rPr>
                <w:rFonts w:eastAsia="Times New Roman"/>
                <w:b/>
                <w:bCs/>
                <w:color w:val="FFFFFF"/>
                <w:sz w:val="24"/>
                <w:szCs w:val="24"/>
                <w:lang w:val="en-PH"/>
              </w:rPr>
            </w:pPr>
            <w:r w:rsidRPr="004E6AE5">
              <w:rPr>
                <w:rFonts w:eastAsia="Times New Roman"/>
                <w:b/>
                <w:bCs/>
                <w:color w:val="FFFFFF"/>
                <w:sz w:val="24"/>
                <w:szCs w:val="24"/>
                <w:lang w:val="en-PH"/>
              </w:rPr>
              <w:t>VALIDATING AGENCY</w:t>
            </w:r>
          </w:p>
        </w:tc>
      </w:tr>
      <w:tr w:rsidR="00776581" w:rsidRPr="007A2889" w14:paraId="68D3056C" w14:textId="77777777" w:rsidTr="00A70A2F">
        <w:trPr>
          <w:trHeight w:val="300"/>
        </w:trPr>
        <w:tc>
          <w:tcPr>
            <w:tcW w:w="2122" w:type="dxa"/>
            <w:tcMar>
              <w:top w:w="0" w:type="dxa"/>
              <w:left w:w="45" w:type="dxa"/>
              <w:bottom w:w="0" w:type="dxa"/>
              <w:right w:w="45" w:type="dxa"/>
            </w:tcMar>
            <w:vAlign w:val="center"/>
          </w:tcPr>
          <w:p w14:paraId="5D11A798" w14:textId="0FE76CB9" w:rsidR="00776581" w:rsidRPr="004E6AE5" w:rsidRDefault="00776581" w:rsidP="00A70A2F">
            <w:pPr>
              <w:rPr>
                <w:rFonts w:eastAsia="Times New Roman"/>
                <w:sz w:val="23"/>
                <w:szCs w:val="23"/>
                <w:lang w:val="en-PH"/>
              </w:rPr>
            </w:pPr>
            <w:r w:rsidRPr="007A2889">
              <w:rPr>
                <w:rFonts w:eastAsia="Times New Roman"/>
                <w:sz w:val="23"/>
                <w:szCs w:val="23"/>
                <w:lang w:val="en-PH"/>
              </w:rPr>
              <w:t>before January 31st of the fiscal year</w:t>
            </w:r>
          </w:p>
        </w:tc>
        <w:tc>
          <w:tcPr>
            <w:tcW w:w="5670" w:type="dxa"/>
            <w:tcMar>
              <w:top w:w="0" w:type="dxa"/>
              <w:left w:w="45" w:type="dxa"/>
              <w:bottom w:w="0" w:type="dxa"/>
              <w:right w:w="45" w:type="dxa"/>
            </w:tcMar>
            <w:vAlign w:val="center"/>
          </w:tcPr>
          <w:p w14:paraId="641594C7" w14:textId="77777777" w:rsidR="00776581" w:rsidRPr="004E6AE5" w:rsidRDefault="00776581" w:rsidP="00A70A2F">
            <w:pPr>
              <w:jc w:val="both"/>
              <w:rPr>
                <w:sz w:val="23"/>
                <w:szCs w:val="23"/>
              </w:rPr>
            </w:pPr>
            <w:r w:rsidRPr="004E6AE5">
              <w:rPr>
                <w:sz w:val="23"/>
                <w:szCs w:val="23"/>
              </w:rPr>
              <w:t xml:space="preserve">Submit Certificate of Compliance that the agency conducted </w:t>
            </w:r>
            <w:r w:rsidRPr="004E6AE5">
              <w:rPr>
                <w:b/>
                <w:sz w:val="23"/>
                <w:szCs w:val="23"/>
              </w:rPr>
              <w:t>Early Procurement Activities</w:t>
            </w:r>
            <w:r w:rsidRPr="004E6AE5">
              <w:rPr>
                <w:sz w:val="23"/>
                <w:szCs w:val="23"/>
              </w:rPr>
              <w:t xml:space="preserve"> for at least 50% of the Total Value </w:t>
            </w:r>
            <w:r w:rsidRPr="004E6AE5">
              <w:rPr>
                <w:bCs/>
                <w:sz w:val="23"/>
                <w:szCs w:val="23"/>
              </w:rPr>
              <w:t xml:space="preserve">of the </w:t>
            </w:r>
            <w:r w:rsidRPr="004E6AE5">
              <w:rPr>
                <w:b/>
                <w:sz w:val="23"/>
                <w:szCs w:val="23"/>
              </w:rPr>
              <w:t>FY 2022 Procurement Projects</w:t>
            </w:r>
            <w:r w:rsidRPr="004E6AE5">
              <w:rPr>
                <w:sz w:val="23"/>
                <w:szCs w:val="23"/>
              </w:rPr>
              <w:t xml:space="preserve"> to the GPPB-TSO.</w:t>
            </w:r>
          </w:p>
          <w:p w14:paraId="2AF97095" w14:textId="77777777" w:rsidR="00776581" w:rsidRPr="004E6AE5" w:rsidRDefault="00776581" w:rsidP="00A70A2F">
            <w:pPr>
              <w:rPr>
                <w:sz w:val="23"/>
                <w:szCs w:val="23"/>
              </w:rPr>
            </w:pPr>
          </w:p>
          <w:p w14:paraId="09575B80" w14:textId="373A915E" w:rsidR="00A70A2F" w:rsidRPr="00A70A2F" w:rsidRDefault="00776581" w:rsidP="00A70A2F">
            <w:pPr>
              <w:rPr>
                <w:i/>
                <w:iCs/>
                <w:sz w:val="23"/>
                <w:szCs w:val="23"/>
              </w:rPr>
            </w:pPr>
            <w:r w:rsidRPr="004E6AE5">
              <w:rPr>
                <w:i/>
                <w:iCs/>
                <w:sz w:val="23"/>
                <w:szCs w:val="23"/>
              </w:rPr>
              <w:t>Note: Early Procurement Activities should be conducted in FY 202</w:t>
            </w:r>
            <w:r w:rsidR="00825674">
              <w:rPr>
                <w:i/>
                <w:iCs/>
                <w:sz w:val="23"/>
                <w:szCs w:val="23"/>
              </w:rPr>
              <w:t>2</w:t>
            </w:r>
          </w:p>
        </w:tc>
        <w:tc>
          <w:tcPr>
            <w:tcW w:w="1842" w:type="dxa"/>
            <w:vAlign w:val="center"/>
          </w:tcPr>
          <w:p w14:paraId="775DE97B" w14:textId="247B2CEA" w:rsidR="00776581" w:rsidRPr="004E6AE5" w:rsidRDefault="00776581" w:rsidP="00A70A2F">
            <w:pPr>
              <w:jc w:val="center"/>
              <w:rPr>
                <w:rFonts w:eastAsia="Times New Roman"/>
                <w:sz w:val="23"/>
                <w:szCs w:val="23"/>
                <w:lang w:val="en-PH"/>
              </w:rPr>
            </w:pPr>
            <w:r w:rsidRPr="004E6AE5">
              <w:rPr>
                <w:color w:val="000000"/>
                <w:sz w:val="23"/>
                <w:szCs w:val="23"/>
              </w:rPr>
              <w:t>GPPB-TSO</w:t>
            </w:r>
          </w:p>
        </w:tc>
      </w:tr>
      <w:tr w:rsidR="00776581" w:rsidRPr="007A2889" w14:paraId="35B84CAB" w14:textId="77777777" w:rsidTr="00A70A2F">
        <w:trPr>
          <w:trHeight w:val="300"/>
        </w:trPr>
        <w:tc>
          <w:tcPr>
            <w:tcW w:w="2122" w:type="dxa"/>
            <w:tcMar>
              <w:top w:w="0" w:type="dxa"/>
              <w:left w:w="45" w:type="dxa"/>
              <w:bottom w:w="0" w:type="dxa"/>
              <w:right w:w="45" w:type="dxa"/>
            </w:tcMar>
            <w:vAlign w:val="center"/>
          </w:tcPr>
          <w:p w14:paraId="100D5E57" w14:textId="7BEFCBF2" w:rsidR="00776581" w:rsidRPr="004E6AE5" w:rsidRDefault="00776581" w:rsidP="00A70A2F">
            <w:pPr>
              <w:rPr>
                <w:rFonts w:eastAsia="Times New Roman"/>
                <w:sz w:val="23"/>
                <w:szCs w:val="23"/>
                <w:lang w:val="en-PH"/>
              </w:rPr>
            </w:pPr>
            <w:r w:rsidRPr="004E6AE5">
              <w:rPr>
                <w:rFonts w:eastAsia="Times New Roman"/>
                <w:sz w:val="23"/>
                <w:szCs w:val="23"/>
                <w:lang w:val="en-PH"/>
              </w:rPr>
              <w:t>March 31, 2022</w:t>
            </w:r>
          </w:p>
        </w:tc>
        <w:tc>
          <w:tcPr>
            <w:tcW w:w="5670" w:type="dxa"/>
            <w:tcMar>
              <w:top w:w="0" w:type="dxa"/>
              <w:left w:w="45" w:type="dxa"/>
              <w:bottom w:w="0" w:type="dxa"/>
              <w:right w:w="45" w:type="dxa"/>
            </w:tcMar>
            <w:vAlign w:val="center"/>
          </w:tcPr>
          <w:p w14:paraId="6BE8DA03" w14:textId="3452E487" w:rsidR="00776581" w:rsidRPr="004E6AE5" w:rsidRDefault="00776581" w:rsidP="00A70A2F">
            <w:pPr>
              <w:rPr>
                <w:b/>
                <w:sz w:val="23"/>
                <w:szCs w:val="23"/>
              </w:rPr>
            </w:pPr>
            <w:r w:rsidRPr="004E6AE5">
              <w:rPr>
                <w:sz w:val="23"/>
                <w:szCs w:val="23"/>
              </w:rPr>
              <w:t xml:space="preserve">Submit </w:t>
            </w:r>
            <w:r w:rsidRPr="004E6AE5">
              <w:rPr>
                <w:b/>
                <w:sz w:val="23"/>
                <w:szCs w:val="23"/>
              </w:rPr>
              <w:t>FY 2022 APP-non CSE</w:t>
            </w:r>
            <w:r w:rsidRPr="004E6AE5">
              <w:rPr>
                <w:sz w:val="23"/>
                <w:szCs w:val="23"/>
              </w:rPr>
              <w:t xml:space="preserve"> to GPPB-TSO.</w:t>
            </w:r>
          </w:p>
        </w:tc>
        <w:tc>
          <w:tcPr>
            <w:tcW w:w="1842" w:type="dxa"/>
            <w:vAlign w:val="center"/>
          </w:tcPr>
          <w:p w14:paraId="5F009DF3" w14:textId="12F6C838" w:rsidR="00776581" w:rsidRPr="004E6AE5" w:rsidRDefault="00776581" w:rsidP="00A70A2F">
            <w:pPr>
              <w:jc w:val="center"/>
              <w:rPr>
                <w:rFonts w:eastAsia="Times New Roman"/>
                <w:sz w:val="23"/>
                <w:szCs w:val="23"/>
                <w:lang w:val="en-PH"/>
              </w:rPr>
            </w:pPr>
            <w:r w:rsidRPr="004E6AE5">
              <w:rPr>
                <w:rFonts w:eastAsia="Times New Roman"/>
                <w:sz w:val="23"/>
                <w:szCs w:val="23"/>
                <w:lang w:val="en-PH"/>
              </w:rPr>
              <w:t>GPPB-TSO</w:t>
            </w:r>
          </w:p>
        </w:tc>
      </w:tr>
      <w:tr w:rsidR="00776581" w:rsidRPr="007A2889" w14:paraId="72994DF7" w14:textId="77777777" w:rsidTr="00A70A2F">
        <w:trPr>
          <w:trHeight w:val="300"/>
        </w:trPr>
        <w:tc>
          <w:tcPr>
            <w:tcW w:w="2122" w:type="dxa"/>
            <w:tcMar>
              <w:top w:w="0" w:type="dxa"/>
              <w:left w:w="45" w:type="dxa"/>
              <w:bottom w:w="0" w:type="dxa"/>
              <w:right w:w="45" w:type="dxa"/>
            </w:tcMar>
            <w:vAlign w:val="center"/>
          </w:tcPr>
          <w:p w14:paraId="4DF8B7A2" w14:textId="3540CE0E" w:rsidR="00776581" w:rsidRPr="004E6AE5" w:rsidRDefault="00776581" w:rsidP="00A70A2F">
            <w:pPr>
              <w:rPr>
                <w:rFonts w:eastAsia="Times New Roman"/>
                <w:sz w:val="23"/>
                <w:szCs w:val="23"/>
                <w:lang w:val="en-PH"/>
              </w:rPr>
            </w:pPr>
            <w:r w:rsidRPr="004E6AE5">
              <w:rPr>
                <w:rFonts w:eastAsia="Times New Roman"/>
                <w:sz w:val="23"/>
                <w:szCs w:val="23"/>
                <w:lang w:val="en-PH"/>
              </w:rPr>
              <w:t>June 30, 2022</w:t>
            </w:r>
          </w:p>
        </w:tc>
        <w:tc>
          <w:tcPr>
            <w:tcW w:w="5670" w:type="dxa"/>
            <w:tcMar>
              <w:top w:w="0" w:type="dxa"/>
              <w:left w:w="45" w:type="dxa"/>
              <w:bottom w:w="0" w:type="dxa"/>
              <w:right w:w="45" w:type="dxa"/>
            </w:tcMar>
            <w:vAlign w:val="center"/>
          </w:tcPr>
          <w:p w14:paraId="59A9977E" w14:textId="40C24CB9" w:rsidR="00776581" w:rsidRPr="004E6AE5" w:rsidRDefault="00776581" w:rsidP="00A70A2F">
            <w:pPr>
              <w:rPr>
                <w:sz w:val="23"/>
                <w:szCs w:val="23"/>
              </w:rPr>
            </w:pPr>
            <w:r w:rsidRPr="004E6AE5">
              <w:rPr>
                <w:sz w:val="23"/>
                <w:szCs w:val="23"/>
              </w:rPr>
              <w:t xml:space="preserve">Submit Results of the </w:t>
            </w:r>
            <w:r w:rsidRPr="004E6AE5">
              <w:rPr>
                <w:b/>
                <w:sz w:val="23"/>
                <w:szCs w:val="23"/>
              </w:rPr>
              <w:t xml:space="preserve">APCPI </w:t>
            </w:r>
            <w:r w:rsidRPr="004E6AE5">
              <w:rPr>
                <w:sz w:val="23"/>
                <w:szCs w:val="23"/>
              </w:rPr>
              <w:t xml:space="preserve">system </w:t>
            </w:r>
            <w:r w:rsidRPr="004E6AE5">
              <w:rPr>
                <w:b/>
                <w:sz w:val="23"/>
                <w:szCs w:val="23"/>
              </w:rPr>
              <w:t>for FY 2021 Procurement Transactions</w:t>
            </w:r>
            <w:r w:rsidRPr="004E6AE5">
              <w:rPr>
                <w:sz w:val="23"/>
                <w:szCs w:val="23"/>
              </w:rPr>
              <w:t xml:space="preserve"> to GPPB-TSO.</w:t>
            </w:r>
          </w:p>
        </w:tc>
        <w:tc>
          <w:tcPr>
            <w:tcW w:w="1842" w:type="dxa"/>
            <w:vAlign w:val="center"/>
          </w:tcPr>
          <w:p w14:paraId="5A25AE37" w14:textId="05BFE6DD" w:rsidR="00776581" w:rsidRPr="004E6AE5" w:rsidRDefault="00776581" w:rsidP="00A70A2F">
            <w:pPr>
              <w:jc w:val="center"/>
              <w:rPr>
                <w:rFonts w:eastAsia="Times New Roman"/>
                <w:sz w:val="23"/>
                <w:szCs w:val="23"/>
                <w:lang w:val="en-PH"/>
              </w:rPr>
            </w:pPr>
            <w:r w:rsidRPr="004E6AE5">
              <w:rPr>
                <w:rFonts w:eastAsia="Times New Roman"/>
                <w:sz w:val="23"/>
                <w:szCs w:val="23"/>
                <w:lang w:val="en-PH"/>
              </w:rPr>
              <w:t>GPPB-TSO</w:t>
            </w:r>
          </w:p>
        </w:tc>
      </w:tr>
      <w:tr w:rsidR="00776581" w:rsidRPr="007A2889" w14:paraId="75A89122" w14:textId="77777777" w:rsidTr="00A70A2F">
        <w:trPr>
          <w:trHeight w:val="300"/>
        </w:trPr>
        <w:tc>
          <w:tcPr>
            <w:tcW w:w="2122" w:type="dxa"/>
            <w:tcMar>
              <w:top w:w="0" w:type="dxa"/>
              <w:left w:w="45" w:type="dxa"/>
              <w:bottom w:w="0" w:type="dxa"/>
              <w:right w:w="45" w:type="dxa"/>
            </w:tcMar>
            <w:vAlign w:val="center"/>
          </w:tcPr>
          <w:p w14:paraId="4F3FF3FF" w14:textId="69C61715" w:rsidR="00776581" w:rsidRPr="004E6AE5" w:rsidRDefault="00776581" w:rsidP="00A70A2F">
            <w:pPr>
              <w:rPr>
                <w:rFonts w:eastAsia="Times New Roman"/>
                <w:sz w:val="23"/>
                <w:szCs w:val="23"/>
                <w:lang w:val="en-PH"/>
              </w:rPr>
            </w:pPr>
            <w:r w:rsidRPr="004E6AE5">
              <w:rPr>
                <w:rFonts w:eastAsia="Times New Roman"/>
                <w:sz w:val="23"/>
                <w:szCs w:val="23"/>
                <w:lang w:val="en-PH"/>
              </w:rPr>
              <w:t>September 30, 2022</w:t>
            </w:r>
          </w:p>
        </w:tc>
        <w:tc>
          <w:tcPr>
            <w:tcW w:w="5670" w:type="dxa"/>
            <w:tcMar>
              <w:top w:w="0" w:type="dxa"/>
              <w:left w:w="45" w:type="dxa"/>
              <w:bottom w:w="0" w:type="dxa"/>
              <w:right w:w="45" w:type="dxa"/>
            </w:tcMar>
            <w:vAlign w:val="center"/>
          </w:tcPr>
          <w:p w14:paraId="63805D51" w14:textId="4316A521" w:rsidR="00776581" w:rsidRPr="004E6AE5" w:rsidRDefault="00776581" w:rsidP="00A70A2F">
            <w:pPr>
              <w:rPr>
                <w:sz w:val="23"/>
                <w:szCs w:val="23"/>
              </w:rPr>
            </w:pPr>
            <w:r w:rsidRPr="004E6AE5">
              <w:rPr>
                <w:sz w:val="23"/>
                <w:szCs w:val="23"/>
              </w:rPr>
              <w:t>Posting of</w:t>
            </w:r>
            <w:r w:rsidRPr="004E6AE5">
              <w:rPr>
                <w:b/>
                <w:sz w:val="23"/>
                <w:szCs w:val="23"/>
              </w:rPr>
              <w:t xml:space="preserve"> Indicative</w:t>
            </w:r>
            <w:r w:rsidRPr="004E6AE5">
              <w:rPr>
                <w:sz w:val="23"/>
                <w:szCs w:val="23"/>
              </w:rPr>
              <w:t xml:space="preserve"> </w:t>
            </w:r>
            <w:r w:rsidRPr="004E6AE5">
              <w:rPr>
                <w:b/>
                <w:sz w:val="23"/>
                <w:szCs w:val="23"/>
              </w:rPr>
              <w:t>FY 2023 APP-non CSE</w:t>
            </w:r>
            <w:r w:rsidRPr="004E6AE5">
              <w:rPr>
                <w:sz w:val="23"/>
                <w:szCs w:val="23"/>
              </w:rPr>
              <w:t xml:space="preserve"> in the agency’s Transparency Seal webpage.</w:t>
            </w:r>
          </w:p>
        </w:tc>
        <w:tc>
          <w:tcPr>
            <w:tcW w:w="1842" w:type="dxa"/>
            <w:vAlign w:val="center"/>
          </w:tcPr>
          <w:p w14:paraId="4E88EAE7" w14:textId="0715C9ED" w:rsidR="00776581" w:rsidRPr="004E6AE5" w:rsidRDefault="00776581" w:rsidP="00A70A2F">
            <w:pPr>
              <w:jc w:val="center"/>
              <w:rPr>
                <w:rFonts w:eastAsia="Times New Roman"/>
                <w:sz w:val="23"/>
                <w:szCs w:val="23"/>
                <w:lang w:val="en-PH"/>
              </w:rPr>
            </w:pPr>
            <w:r w:rsidRPr="004E6AE5">
              <w:rPr>
                <w:color w:val="000000"/>
                <w:sz w:val="23"/>
                <w:szCs w:val="23"/>
              </w:rPr>
              <w:t>DBM-OCIO</w:t>
            </w:r>
          </w:p>
        </w:tc>
      </w:tr>
      <w:tr w:rsidR="00776581" w:rsidRPr="007A2889" w14:paraId="4910C2CB" w14:textId="77777777" w:rsidTr="00A70A2F">
        <w:trPr>
          <w:trHeight w:val="300"/>
        </w:trPr>
        <w:tc>
          <w:tcPr>
            <w:tcW w:w="2122" w:type="dxa"/>
            <w:tcMar>
              <w:top w:w="0" w:type="dxa"/>
              <w:left w:w="45" w:type="dxa"/>
              <w:bottom w:w="0" w:type="dxa"/>
              <w:right w:w="45" w:type="dxa"/>
            </w:tcMar>
            <w:vAlign w:val="center"/>
          </w:tcPr>
          <w:p w14:paraId="2C830650" w14:textId="573DB479" w:rsidR="00776581" w:rsidRPr="004E6AE5" w:rsidRDefault="00776581" w:rsidP="00A70A2F">
            <w:pPr>
              <w:rPr>
                <w:rFonts w:eastAsia="Times New Roman"/>
                <w:sz w:val="23"/>
                <w:szCs w:val="23"/>
                <w:lang w:val="en-PH"/>
              </w:rPr>
            </w:pPr>
            <w:r w:rsidRPr="004E6AE5">
              <w:rPr>
                <w:rFonts w:eastAsia="Times New Roman"/>
                <w:sz w:val="23"/>
                <w:szCs w:val="23"/>
                <w:lang w:val="en-PH"/>
              </w:rPr>
              <w:t>September 30, 2022</w:t>
            </w:r>
          </w:p>
        </w:tc>
        <w:tc>
          <w:tcPr>
            <w:tcW w:w="5670" w:type="dxa"/>
            <w:tcMar>
              <w:top w:w="0" w:type="dxa"/>
              <w:left w:w="45" w:type="dxa"/>
              <w:bottom w:w="0" w:type="dxa"/>
              <w:right w:w="45" w:type="dxa"/>
            </w:tcMar>
            <w:vAlign w:val="center"/>
          </w:tcPr>
          <w:p w14:paraId="3995E86E" w14:textId="0056AF74" w:rsidR="00776581" w:rsidRPr="004E6AE5" w:rsidRDefault="00776581" w:rsidP="00A70A2F">
            <w:pPr>
              <w:rPr>
                <w:sz w:val="23"/>
                <w:szCs w:val="23"/>
              </w:rPr>
            </w:pPr>
            <w:r w:rsidRPr="004E6AE5">
              <w:rPr>
                <w:sz w:val="23"/>
                <w:szCs w:val="23"/>
              </w:rPr>
              <w:t>Submit the</w:t>
            </w:r>
            <w:r w:rsidRPr="004E6AE5">
              <w:rPr>
                <w:b/>
                <w:sz w:val="23"/>
                <w:szCs w:val="23"/>
              </w:rPr>
              <w:t xml:space="preserve"> FY 2023 APP-CSE</w:t>
            </w:r>
            <w:r w:rsidRPr="004E6AE5">
              <w:rPr>
                <w:sz w:val="23"/>
                <w:szCs w:val="23"/>
              </w:rPr>
              <w:t xml:space="preserve"> thru the PhilGEPS Virtual Store.</w:t>
            </w:r>
          </w:p>
        </w:tc>
        <w:tc>
          <w:tcPr>
            <w:tcW w:w="1842" w:type="dxa"/>
            <w:vAlign w:val="center"/>
          </w:tcPr>
          <w:p w14:paraId="470294BC" w14:textId="1895A9E5" w:rsidR="00776581" w:rsidRPr="004E6AE5" w:rsidRDefault="00776581" w:rsidP="00A70A2F">
            <w:pPr>
              <w:jc w:val="center"/>
              <w:rPr>
                <w:rFonts w:eastAsia="Times New Roman"/>
                <w:sz w:val="23"/>
                <w:szCs w:val="23"/>
                <w:lang w:val="en-PH"/>
              </w:rPr>
            </w:pPr>
            <w:r w:rsidRPr="004E6AE5">
              <w:rPr>
                <w:rFonts w:eastAsia="Times New Roman"/>
                <w:sz w:val="23"/>
                <w:szCs w:val="23"/>
                <w:lang w:val="en-PH"/>
              </w:rPr>
              <w:t>PS-DBM</w:t>
            </w:r>
          </w:p>
        </w:tc>
      </w:tr>
      <w:tr w:rsidR="00776581" w:rsidRPr="007A2889" w14:paraId="77086BFF" w14:textId="7C607674" w:rsidTr="00A70A2F">
        <w:trPr>
          <w:trHeight w:val="300"/>
        </w:trPr>
        <w:tc>
          <w:tcPr>
            <w:tcW w:w="2122" w:type="dxa"/>
            <w:tcMar>
              <w:top w:w="0" w:type="dxa"/>
              <w:left w:w="45" w:type="dxa"/>
              <w:bottom w:w="0" w:type="dxa"/>
              <w:right w:w="45" w:type="dxa"/>
            </w:tcMar>
            <w:vAlign w:val="center"/>
            <w:hideMark/>
          </w:tcPr>
          <w:p w14:paraId="0D759652" w14:textId="2DF6E396" w:rsidR="00776581" w:rsidRPr="007A2889" w:rsidRDefault="00776581" w:rsidP="00A70A2F">
            <w:pPr>
              <w:rPr>
                <w:rFonts w:eastAsia="Times New Roman"/>
                <w:sz w:val="23"/>
                <w:szCs w:val="23"/>
                <w:lang w:val="en-PH"/>
              </w:rPr>
            </w:pPr>
            <w:r w:rsidRPr="004E6AE5">
              <w:rPr>
                <w:rFonts w:eastAsia="Times New Roman"/>
                <w:sz w:val="23"/>
                <w:szCs w:val="23"/>
                <w:lang w:val="en-PH"/>
              </w:rPr>
              <w:t>October 1, 2022</w:t>
            </w:r>
          </w:p>
        </w:tc>
        <w:tc>
          <w:tcPr>
            <w:tcW w:w="5670" w:type="dxa"/>
            <w:tcMar>
              <w:top w:w="0" w:type="dxa"/>
              <w:left w:w="45" w:type="dxa"/>
              <w:bottom w:w="0" w:type="dxa"/>
              <w:right w:w="45" w:type="dxa"/>
            </w:tcMar>
            <w:vAlign w:val="center"/>
            <w:hideMark/>
          </w:tcPr>
          <w:p w14:paraId="731490EB" w14:textId="64549674" w:rsidR="00776581" w:rsidRPr="007A2889" w:rsidRDefault="00776581" w:rsidP="00A70A2F">
            <w:pPr>
              <w:rPr>
                <w:rFonts w:eastAsia="Times New Roman"/>
                <w:sz w:val="23"/>
                <w:szCs w:val="23"/>
                <w:lang w:val="en-PH"/>
              </w:rPr>
            </w:pPr>
            <w:r w:rsidRPr="004E6AE5">
              <w:rPr>
                <w:b/>
                <w:sz w:val="23"/>
                <w:szCs w:val="23"/>
              </w:rPr>
              <w:t>Maintain/Update the agency Transparency Seal</w:t>
            </w:r>
            <w:r w:rsidRPr="004E6AE5">
              <w:rPr>
                <w:sz w:val="23"/>
                <w:szCs w:val="23"/>
              </w:rPr>
              <w:t xml:space="preserve"> (TS) under Section </w:t>
            </w:r>
            <w:r w:rsidR="00C76107">
              <w:rPr>
                <w:sz w:val="23"/>
                <w:szCs w:val="23"/>
              </w:rPr>
              <w:t xml:space="preserve">102 </w:t>
            </w:r>
            <w:r w:rsidRPr="004E6AE5">
              <w:rPr>
                <w:sz w:val="23"/>
                <w:szCs w:val="23"/>
              </w:rPr>
              <w:t>of the General Provisions of the FY 202</w:t>
            </w:r>
            <w:r w:rsidR="00C76107">
              <w:rPr>
                <w:sz w:val="23"/>
                <w:szCs w:val="23"/>
              </w:rPr>
              <w:t>2</w:t>
            </w:r>
            <w:r w:rsidRPr="004E6AE5">
              <w:rPr>
                <w:sz w:val="23"/>
                <w:szCs w:val="23"/>
              </w:rPr>
              <w:t xml:space="preserve"> General Appropriations Act (GAA). The TS page should be accessible by clicking the TS logo on the home page.</w:t>
            </w:r>
          </w:p>
        </w:tc>
        <w:tc>
          <w:tcPr>
            <w:tcW w:w="1842" w:type="dxa"/>
            <w:vAlign w:val="center"/>
          </w:tcPr>
          <w:p w14:paraId="1BAD2FDC" w14:textId="3CBC0CEB" w:rsidR="00776581" w:rsidRPr="004E6AE5" w:rsidRDefault="00776581" w:rsidP="00A70A2F">
            <w:pPr>
              <w:jc w:val="center"/>
              <w:rPr>
                <w:rFonts w:eastAsia="Times New Roman"/>
                <w:sz w:val="23"/>
                <w:szCs w:val="23"/>
                <w:lang w:val="en-PH"/>
              </w:rPr>
            </w:pPr>
            <w:r w:rsidRPr="004E6AE5">
              <w:rPr>
                <w:rFonts w:eastAsia="Times New Roman"/>
                <w:sz w:val="23"/>
                <w:szCs w:val="23"/>
                <w:lang w:val="en-PH"/>
              </w:rPr>
              <w:t>DBM - OCIO</w:t>
            </w:r>
          </w:p>
        </w:tc>
      </w:tr>
      <w:tr w:rsidR="00776581" w:rsidRPr="007A2889" w14:paraId="2E61970A" w14:textId="5E11DE2A" w:rsidTr="00A70A2F">
        <w:trPr>
          <w:trHeight w:val="300"/>
        </w:trPr>
        <w:tc>
          <w:tcPr>
            <w:tcW w:w="2122" w:type="dxa"/>
            <w:tcMar>
              <w:top w:w="0" w:type="dxa"/>
              <w:left w:w="45" w:type="dxa"/>
              <w:bottom w:w="0" w:type="dxa"/>
              <w:right w:w="45" w:type="dxa"/>
            </w:tcMar>
            <w:vAlign w:val="center"/>
            <w:hideMark/>
          </w:tcPr>
          <w:p w14:paraId="2B144504" w14:textId="418A60E9" w:rsidR="00776581" w:rsidRPr="007A2889" w:rsidRDefault="00776581" w:rsidP="00A70A2F">
            <w:pPr>
              <w:rPr>
                <w:rFonts w:eastAsia="Times New Roman"/>
                <w:sz w:val="23"/>
                <w:szCs w:val="23"/>
                <w:lang w:val="en-PH"/>
              </w:rPr>
            </w:pPr>
            <w:r w:rsidRPr="004E6AE5">
              <w:rPr>
                <w:rFonts w:eastAsia="Times New Roman"/>
                <w:sz w:val="23"/>
                <w:szCs w:val="23"/>
                <w:lang w:val="en-PH"/>
              </w:rPr>
              <w:t>October 1, 2022</w:t>
            </w:r>
          </w:p>
        </w:tc>
        <w:tc>
          <w:tcPr>
            <w:tcW w:w="5670" w:type="dxa"/>
            <w:tcMar>
              <w:top w:w="0" w:type="dxa"/>
              <w:left w:w="45" w:type="dxa"/>
              <w:bottom w:w="0" w:type="dxa"/>
              <w:right w:w="45" w:type="dxa"/>
            </w:tcMar>
            <w:vAlign w:val="center"/>
            <w:hideMark/>
          </w:tcPr>
          <w:p w14:paraId="43A86619" w14:textId="3A36606B" w:rsidR="00776581" w:rsidRPr="007A2889" w:rsidRDefault="00776581" w:rsidP="00A70A2F">
            <w:pPr>
              <w:rPr>
                <w:rFonts w:eastAsia="Times New Roman"/>
                <w:sz w:val="23"/>
                <w:szCs w:val="23"/>
                <w:lang w:val="en-PH"/>
              </w:rPr>
            </w:pPr>
            <w:r w:rsidRPr="004E6AE5">
              <w:rPr>
                <w:sz w:val="23"/>
                <w:szCs w:val="23"/>
              </w:rPr>
              <w:t>Post the a</w:t>
            </w:r>
            <w:r w:rsidRPr="004E6AE5">
              <w:rPr>
                <w:color w:val="000000"/>
                <w:sz w:val="23"/>
                <w:szCs w:val="23"/>
              </w:rPr>
              <w:t>gency’s polic</w:t>
            </w:r>
            <w:r w:rsidRPr="004E6AE5">
              <w:rPr>
                <w:sz w:val="23"/>
                <w:szCs w:val="23"/>
              </w:rPr>
              <w:t>y on the</w:t>
            </w:r>
            <w:r w:rsidRPr="004E6AE5">
              <w:rPr>
                <w:b/>
                <w:sz w:val="23"/>
                <w:szCs w:val="23"/>
              </w:rPr>
              <w:t xml:space="preserve"> </w:t>
            </w:r>
            <w:r w:rsidRPr="004E6AE5">
              <w:rPr>
                <w:b/>
                <w:color w:val="000000"/>
                <w:sz w:val="23"/>
                <w:szCs w:val="23"/>
              </w:rPr>
              <w:t xml:space="preserve">Establishment and Conduct of the Agency Review and Compliance of SALN </w:t>
            </w:r>
            <w:r w:rsidRPr="004E6AE5">
              <w:rPr>
                <w:color w:val="000000"/>
                <w:sz w:val="23"/>
                <w:szCs w:val="23"/>
              </w:rPr>
              <w:t>in the agency Transparency Seal for FY 202</w:t>
            </w:r>
            <w:r w:rsidR="00A70A2F">
              <w:rPr>
                <w:color w:val="000000"/>
                <w:sz w:val="23"/>
                <w:szCs w:val="23"/>
              </w:rPr>
              <w:t>2</w:t>
            </w:r>
            <w:r w:rsidRPr="004E6AE5">
              <w:rPr>
                <w:color w:val="000000"/>
                <w:sz w:val="23"/>
                <w:szCs w:val="23"/>
              </w:rPr>
              <w:t>.</w:t>
            </w:r>
          </w:p>
        </w:tc>
        <w:tc>
          <w:tcPr>
            <w:tcW w:w="1842" w:type="dxa"/>
            <w:vAlign w:val="center"/>
          </w:tcPr>
          <w:p w14:paraId="6E84E9E4" w14:textId="038F4FF8" w:rsidR="00776581" w:rsidRPr="004E6AE5" w:rsidRDefault="00776581" w:rsidP="00A70A2F">
            <w:pPr>
              <w:jc w:val="center"/>
              <w:rPr>
                <w:rFonts w:eastAsia="Times New Roman"/>
                <w:sz w:val="23"/>
                <w:szCs w:val="23"/>
                <w:lang w:val="en-PH"/>
              </w:rPr>
            </w:pPr>
            <w:r w:rsidRPr="004E6AE5">
              <w:rPr>
                <w:rFonts w:eastAsia="Times New Roman"/>
                <w:sz w:val="23"/>
                <w:szCs w:val="23"/>
                <w:lang w:val="en-PH"/>
              </w:rPr>
              <w:t>CSC</w:t>
            </w:r>
          </w:p>
        </w:tc>
      </w:tr>
      <w:tr w:rsidR="00776581" w:rsidRPr="007A2889" w14:paraId="550C4D28" w14:textId="77777777" w:rsidTr="00A70A2F">
        <w:trPr>
          <w:trHeight w:val="1215"/>
        </w:trPr>
        <w:tc>
          <w:tcPr>
            <w:tcW w:w="2122" w:type="dxa"/>
            <w:tcMar>
              <w:top w:w="0" w:type="dxa"/>
              <w:left w:w="45" w:type="dxa"/>
              <w:bottom w:w="0" w:type="dxa"/>
              <w:right w:w="45" w:type="dxa"/>
            </w:tcMar>
            <w:vAlign w:val="center"/>
          </w:tcPr>
          <w:p w14:paraId="5F396ED0" w14:textId="282965B0" w:rsidR="00776581" w:rsidRPr="004E6AE5" w:rsidRDefault="00776581" w:rsidP="00A70A2F">
            <w:pPr>
              <w:rPr>
                <w:rFonts w:eastAsia="Times New Roman"/>
                <w:sz w:val="23"/>
                <w:szCs w:val="23"/>
                <w:lang w:val="en-PH"/>
              </w:rPr>
            </w:pPr>
            <w:r w:rsidRPr="004E6AE5">
              <w:rPr>
                <w:rFonts w:eastAsia="Times New Roman"/>
                <w:sz w:val="23"/>
                <w:szCs w:val="23"/>
                <w:lang w:val="en-PH"/>
              </w:rPr>
              <w:t>November 30, 2022</w:t>
            </w:r>
          </w:p>
        </w:tc>
        <w:tc>
          <w:tcPr>
            <w:tcW w:w="5670" w:type="dxa"/>
            <w:tcMar>
              <w:top w:w="0" w:type="dxa"/>
              <w:left w:w="45" w:type="dxa"/>
              <w:bottom w:w="0" w:type="dxa"/>
              <w:right w:w="45" w:type="dxa"/>
            </w:tcMar>
            <w:vAlign w:val="center"/>
          </w:tcPr>
          <w:p w14:paraId="395D0824" w14:textId="4E95DE1F" w:rsidR="00776581" w:rsidRPr="004E6AE5" w:rsidRDefault="00776581" w:rsidP="00A70A2F">
            <w:pPr>
              <w:rPr>
                <w:rFonts w:eastAsia="Times New Roman"/>
                <w:sz w:val="23"/>
                <w:szCs w:val="23"/>
                <w:lang w:val="en-PH"/>
              </w:rPr>
            </w:pPr>
            <w:r w:rsidRPr="007A2889">
              <w:rPr>
                <w:rFonts w:eastAsia="Times New Roman"/>
                <w:sz w:val="23"/>
                <w:szCs w:val="23"/>
                <w:lang w:val="en-PH"/>
              </w:rPr>
              <w:t xml:space="preserve">Submission </w:t>
            </w:r>
            <w:r w:rsidRPr="004E6AE5">
              <w:rPr>
                <w:rFonts w:eastAsia="Times New Roman"/>
                <w:sz w:val="23"/>
                <w:szCs w:val="23"/>
                <w:lang w:val="en-PH"/>
              </w:rPr>
              <w:t xml:space="preserve">of the </w:t>
            </w:r>
            <w:r w:rsidRPr="004E6AE5">
              <w:rPr>
                <w:rFonts w:eastAsia="Times New Roman"/>
                <w:b/>
                <w:bCs/>
                <w:sz w:val="23"/>
                <w:szCs w:val="23"/>
                <w:lang w:val="en-PH"/>
              </w:rPr>
              <w:t>National Competition Policy (NCP) requirements</w:t>
            </w:r>
            <w:r w:rsidRPr="004E6AE5">
              <w:rPr>
                <w:rFonts w:eastAsia="Times New Roman"/>
                <w:sz w:val="23"/>
                <w:szCs w:val="23"/>
                <w:lang w:val="en-PH"/>
              </w:rPr>
              <w:t xml:space="preserve"> as stated in Section 5.2 of the FY 2022 PBB Guidelines.</w:t>
            </w:r>
          </w:p>
        </w:tc>
        <w:tc>
          <w:tcPr>
            <w:tcW w:w="1842" w:type="dxa"/>
            <w:vAlign w:val="center"/>
          </w:tcPr>
          <w:p w14:paraId="410E1A1B" w14:textId="62EA67E3" w:rsidR="00776581" w:rsidRPr="004E6AE5" w:rsidRDefault="00776581" w:rsidP="00A70A2F">
            <w:pPr>
              <w:jc w:val="center"/>
              <w:rPr>
                <w:rFonts w:eastAsia="Times New Roman"/>
                <w:sz w:val="23"/>
                <w:szCs w:val="23"/>
                <w:lang w:val="en-PH"/>
              </w:rPr>
            </w:pPr>
            <w:r w:rsidRPr="004E6AE5">
              <w:rPr>
                <w:rFonts w:eastAsia="Times New Roman"/>
                <w:sz w:val="23"/>
                <w:szCs w:val="23"/>
                <w:lang w:val="en-PH"/>
              </w:rPr>
              <w:t>PhCC</w:t>
            </w:r>
          </w:p>
        </w:tc>
      </w:tr>
      <w:tr w:rsidR="00776581" w:rsidRPr="007A2889" w14:paraId="51D39CA0" w14:textId="77777777" w:rsidTr="00A70A2F">
        <w:trPr>
          <w:trHeight w:val="707"/>
        </w:trPr>
        <w:tc>
          <w:tcPr>
            <w:tcW w:w="2122" w:type="dxa"/>
            <w:tcMar>
              <w:top w:w="0" w:type="dxa"/>
              <w:left w:w="45" w:type="dxa"/>
              <w:bottom w:w="0" w:type="dxa"/>
              <w:right w:w="45" w:type="dxa"/>
            </w:tcMar>
            <w:vAlign w:val="center"/>
          </w:tcPr>
          <w:p w14:paraId="69067A07" w14:textId="61BDE5C2" w:rsidR="00776581" w:rsidRPr="004E6AE5" w:rsidRDefault="00776581" w:rsidP="00A70A2F">
            <w:pPr>
              <w:rPr>
                <w:rFonts w:eastAsia="Times New Roman"/>
                <w:sz w:val="23"/>
                <w:szCs w:val="23"/>
                <w:lang w:val="en-PH"/>
              </w:rPr>
            </w:pPr>
            <w:r w:rsidRPr="007A2889">
              <w:rPr>
                <w:rFonts w:eastAsia="Times New Roman"/>
                <w:sz w:val="23"/>
                <w:szCs w:val="23"/>
                <w:lang w:val="en-PH"/>
              </w:rPr>
              <w:t>December 31, 2022</w:t>
            </w:r>
          </w:p>
        </w:tc>
        <w:tc>
          <w:tcPr>
            <w:tcW w:w="5670" w:type="dxa"/>
            <w:tcMar>
              <w:top w:w="0" w:type="dxa"/>
              <w:left w:w="45" w:type="dxa"/>
              <w:bottom w:w="0" w:type="dxa"/>
              <w:right w:w="45" w:type="dxa"/>
            </w:tcMar>
            <w:vAlign w:val="center"/>
          </w:tcPr>
          <w:p w14:paraId="4357DECC" w14:textId="77777777" w:rsidR="00776581" w:rsidRPr="004E6AE5" w:rsidRDefault="00776581" w:rsidP="00A70A2F">
            <w:pPr>
              <w:rPr>
                <w:b/>
                <w:sz w:val="23"/>
                <w:szCs w:val="23"/>
              </w:rPr>
            </w:pPr>
            <w:r w:rsidRPr="004E6AE5">
              <w:rPr>
                <w:b/>
                <w:sz w:val="23"/>
                <w:szCs w:val="23"/>
              </w:rPr>
              <w:t>Sustained Compliance w/ Audit Findings</w:t>
            </w:r>
          </w:p>
          <w:p w14:paraId="38844C63" w14:textId="2A9F7DE2" w:rsidR="00776581" w:rsidRPr="004E6AE5" w:rsidRDefault="00776581" w:rsidP="00A70A2F">
            <w:pPr>
              <w:rPr>
                <w:rFonts w:eastAsia="Times New Roman"/>
                <w:sz w:val="23"/>
                <w:szCs w:val="23"/>
                <w:lang w:val="en-PH"/>
              </w:rPr>
            </w:pPr>
            <w:r w:rsidRPr="004E6AE5">
              <w:rPr>
                <w:sz w:val="23"/>
                <w:szCs w:val="23"/>
              </w:rPr>
              <w:t xml:space="preserve">Fully implement 30% of the prior years’ audit recommendations as shown in the Report on Status of Implementation of Prior Years’ Recommendations. These recommendations will exclude the Property, Plant, and Equipment (PPE)-related items of the Annual Audit Report (AAR). Audit findings closed </w:t>
            </w:r>
            <w:r w:rsidRPr="004E6AE5">
              <w:rPr>
                <w:sz w:val="23"/>
                <w:szCs w:val="23"/>
              </w:rPr>
              <w:lastRenderedPageBreak/>
              <w:t>since FY 20</w:t>
            </w:r>
            <w:r w:rsidR="00552642">
              <w:rPr>
                <w:sz w:val="23"/>
                <w:szCs w:val="23"/>
              </w:rPr>
              <w:t>20</w:t>
            </w:r>
            <w:r w:rsidRPr="004E6AE5">
              <w:rPr>
                <w:sz w:val="23"/>
                <w:szCs w:val="23"/>
              </w:rPr>
              <w:t xml:space="preserve"> should also not recur. The objective is to improve the agency’s internal control processes, enhance operational effectiveness, and eliminate, resolve and remedy most, if not all, of the agency audit findings, by the end of 202</w:t>
            </w:r>
            <w:r w:rsidR="00552642">
              <w:rPr>
                <w:sz w:val="23"/>
                <w:szCs w:val="23"/>
              </w:rPr>
              <w:t>2</w:t>
            </w:r>
            <w:r w:rsidRPr="004E6AE5">
              <w:rPr>
                <w:sz w:val="23"/>
                <w:szCs w:val="23"/>
              </w:rPr>
              <w:t>.</w:t>
            </w:r>
          </w:p>
        </w:tc>
        <w:tc>
          <w:tcPr>
            <w:tcW w:w="1842" w:type="dxa"/>
            <w:vAlign w:val="center"/>
          </w:tcPr>
          <w:p w14:paraId="467356BE" w14:textId="22B76E27" w:rsidR="00776581" w:rsidRPr="004E6AE5" w:rsidRDefault="00776581" w:rsidP="00A70A2F">
            <w:pPr>
              <w:jc w:val="center"/>
              <w:rPr>
                <w:rFonts w:eastAsia="Times New Roman"/>
                <w:sz w:val="23"/>
                <w:szCs w:val="23"/>
                <w:lang w:val="en-PH"/>
              </w:rPr>
            </w:pPr>
            <w:r w:rsidRPr="004E6AE5">
              <w:rPr>
                <w:rFonts w:eastAsia="Times New Roman"/>
                <w:sz w:val="23"/>
                <w:szCs w:val="23"/>
                <w:lang w:val="en-PH"/>
              </w:rPr>
              <w:lastRenderedPageBreak/>
              <w:t>COA</w:t>
            </w:r>
          </w:p>
        </w:tc>
        <w:bookmarkStart w:id="2" w:name="_GoBack"/>
        <w:bookmarkEnd w:id="2"/>
      </w:tr>
      <w:tr w:rsidR="00776581" w:rsidRPr="007A2889" w14:paraId="08218655" w14:textId="77777777" w:rsidTr="00A70A2F">
        <w:trPr>
          <w:trHeight w:val="1215"/>
        </w:trPr>
        <w:tc>
          <w:tcPr>
            <w:tcW w:w="2122" w:type="dxa"/>
            <w:tcMar>
              <w:top w:w="0" w:type="dxa"/>
              <w:left w:w="45" w:type="dxa"/>
              <w:bottom w:w="0" w:type="dxa"/>
              <w:right w:w="45" w:type="dxa"/>
            </w:tcMar>
            <w:vAlign w:val="center"/>
          </w:tcPr>
          <w:p w14:paraId="6145DC4A" w14:textId="3BE6424F" w:rsidR="00776581" w:rsidRPr="004E6AE5" w:rsidRDefault="00776581" w:rsidP="00A70A2F">
            <w:pPr>
              <w:rPr>
                <w:rFonts w:eastAsia="Times New Roman"/>
                <w:sz w:val="23"/>
                <w:szCs w:val="23"/>
                <w:lang w:val="en-PH"/>
              </w:rPr>
            </w:pPr>
            <w:r w:rsidRPr="004E6AE5">
              <w:rPr>
                <w:rFonts w:eastAsia="Times New Roman"/>
                <w:sz w:val="23"/>
                <w:szCs w:val="23"/>
                <w:lang w:val="en-PH"/>
              </w:rPr>
              <w:t>January 30, 2023</w:t>
            </w:r>
          </w:p>
        </w:tc>
        <w:tc>
          <w:tcPr>
            <w:tcW w:w="5670" w:type="dxa"/>
            <w:tcMar>
              <w:top w:w="0" w:type="dxa"/>
              <w:left w:w="45" w:type="dxa"/>
              <w:bottom w:w="0" w:type="dxa"/>
              <w:right w:w="45" w:type="dxa"/>
            </w:tcMar>
            <w:vAlign w:val="center"/>
          </w:tcPr>
          <w:p w14:paraId="5020F333" w14:textId="3437B4FA" w:rsidR="00776581" w:rsidRPr="004E6AE5" w:rsidRDefault="00776581" w:rsidP="00A70A2F">
            <w:pPr>
              <w:rPr>
                <w:rFonts w:eastAsia="Times New Roman"/>
                <w:sz w:val="23"/>
                <w:szCs w:val="23"/>
                <w:lang w:val="en-PH"/>
              </w:rPr>
            </w:pPr>
            <w:r w:rsidRPr="004E6AE5">
              <w:rPr>
                <w:b/>
                <w:sz w:val="23"/>
                <w:szCs w:val="23"/>
              </w:rPr>
              <w:t xml:space="preserve">Update </w:t>
            </w:r>
            <w:r w:rsidRPr="004E6AE5">
              <w:rPr>
                <w:sz w:val="23"/>
                <w:szCs w:val="23"/>
              </w:rPr>
              <w:t xml:space="preserve">all procurement requirements for transactions above 1 million from January 1, 2022 to December 31, 2022 in the </w:t>
            </w:r>
            <w:r w:rsidRPr="004E6AE5">
              <w:rPr>
                <w:b/>
                <w:sz w:val="23"/>
                <w:szCs w:val="23"/>
              </w:rPr>
              <w:t>PhilGEPS.</w:t>
            </w:r>
          </w:p>
        </w:tc>
        <w:tc>
          <w:tcPr>
            <w:tcW w:w="1842" w:type="dxa"/>
            <w:vAlign w:val="center"/>
          </w:tcPr>
          <w:p w14:paraId="1B1ED015" w14:textId="081456CC" w:rsidR="00776581" w:rsidRPr="004E6AE5" w:rsidRDefault="00776581" w:rsidP="00A70A2F">
            <w:pPr>
              <w:jc w:val="center"/>
              <w:rPr>
                <w:rFonts w:eastAsia="Times New Roman"/>
                <w:sz w:val="23"/>
                <w:szCs w:val="23"/>
                <w:lang w:val="en-PH"/>
              </w:rPr>
            </w:pPr>
            <w:r w:rsidRPr="004E6AE5">
              <w:rPr>
                <w:rFonts w:eastAsia="Times New Roman"/>
                <w:sz w:val="23"/>
                <w:szCs w:val="23"/>
                <w:lang w:val="en-PH"/>
              </w:rPr>
              <w:t>PS-</w:t>
            </w:r>
            <w:proofErr w:type="spellStart"/>
            <w:r w:rsidRPr="004E6AE5">
              <w:rPr>
                <w:rFonts w:eastAsia="Times New Roman"/>
                <w:sz w:val="23"/>
                <w:szCs w:val="23"/>
                <w:lang w:val="en-PH"/>
              </w:rPr>
              <w:t>PhilGEPS</w:t>
            </w:r>
            <w:proofErr w:type="spellEnd"/>
          </w:p>
        </w:tc>
      </w:tr>
      <w:tr w:rsidR="00776581" w:rsidRPr="007A2889" w14:paraId="0578D7C9" w14:textId="77777777" w:rsidTr="00A70A2F">
        <w:trPr>
          <w:trHeight w:val="1215"/>
        </w:trPr>
        <w:tc>
          <w:tcPr>
            <w:tcW w:w="2122" w:type="dxa"/>
            <w:tcMar>
              <w:top w:w="0" w:type="dxa"/>
              <w:left w:w="45" w:type="dxa"/>
              <w:bottom w:w="0" w:type="dxa"/>
              <w:right w:w="45" w:type="dxa"/>
            </w:tcMar>
            <w:vAlign w:val="center"/>
          </w:tcPr>
          <w:p w14:paraId="7298C7CD" w14:textId="23D87C98" w:rsidR="00776581" w:rsidRPr="004E6AE5" w:rsidRDefault="00776581" w:rsidP="00A70A2F">
            <w:pPr>
              <w:rPr>
                <w:rFonts w:eastAsia="Times New Roman"/>
                <w:sz w:val="23"/>
                <w:szCs w:val="23"/>
                <w:lang w:val="en-PH"/>
              </w:rPr>
            </w:pPr>
            <w:r w:rsidRPr="004E6AE5">
              <w:rPr>
                <w:rFonts w:eastAsia="Times New Roman"/>
                <w:sz w:val="23"/>
                <w:szCs w:val="23"/>
                <w:lang w:val="en-PH"/>
              </w:rPr>
              <w:t>January 30, 2023</w:t>
            </w:r>
          </w:p>
        </w:tc>
        <w:tc>
          <w:tcPr>
            <w:tcW w:w="5670" w:type="dxa"/>
            <w:tcMar>
              <w:top w:w="0" w:type="dxa"/>
              <w:left w:w="45" w:type="dxa"/>
              <w:bottom w:w="0" w:type="dxa"/>
              <w:right w:w="45" w:type="dxa"/>
            </w:tcMar>
            <w:vAlign w:val="center"/>
          </w:tcPr>
          <w:p w14:paraId="41D56A4E" w14:textId="77777777" w:rsidR="00776581" w:rsidRPr="004E6AE5" w:rsidRDefault="00776581" w:rsidP="00A70A2F">
            <w:pPr>
              <w:pBdr>
                <w:top w:val="nil"/>
                <w:left w:val="nil"/>
                <w:bottom w:val="nil"/>
                <w:right w:val="nil"/>
                <w:between w:val="nil"/>
              </w:pBdr>
              <w:rPr>
                <w:sz w:val="23"/>
                <w:szCs w:val="23"/>
              </w:rPr>
            </w:pPr>
            <w:r w:rsidRPr="004E6AE5">
              <w:rPr>
                <w:sz w:val="23"/>
                <w:szCs w:val="23"/>
              </w:rPr>
              <w:t xml:space="preserve">Submit the following </w:t>
            </w:r>
            <w:r w:rsidRPr="004E6AE5">
              <w:rPr>
                <w:b/>
                <w:sz w:val="23"/>
                <w:szCs w:val="23"/>
              </w:rPr>
              <w:t xml:space="preserve">Freedom of Information (FOI) Program </w:t>
            </w:r>
            <w:r w:rsidRPr="004E6AE5">
              <w:rPr>
                <w:sz w:val="23"/>
                <w:szCs w:val="23"/>
              </w:rPr>
              <w:t xml:space="preserve">requirements to PCOO: </w:t>
            </w:r>
          </w:p>
          <w:p w14:paraId="165647CE" w14:textId="56FBA397" w:rsidR="00805736" w:rsidRPr="004E6AE5" w:rsidRDefault="00805736" w:rsidP="00A70A2F">
            <w:pPr>
              <w:numPr>
                <w:ilvl w:val="0"/>
                <w:numId w:val="1"/>
              </w:numPr>
              <w:pBdr>
                <w:top w:val="nil"/>
                <w:left w:val="nil"/>
                <w:bottom w:val="nil"/>
                <w:right w:val="nil"/>
                <w:between w:val="nil"/>
              </w:pBdr>
              <w:rPr>
                <w:color w:val="000000"/>
                <w:sz w:val="23"/>
                <w:szCs w:val="23"/>
              </w:rPr>
            </w:pPr>
            <w:r w:rsidRPr="004E6AE5">
              <w:rPr>
                <w:color w:val="000000"/>
                <w:sz w:val="23"/>
                <w:szCs w:val="23"/>
              </w:rPr>
              <w:t>Updated People’s FOI manual</w:t>
            </w:r>
          </w:p>
          <w:p w14:paraId="070D6868" w14:textId="660D6D95" w:rsidR="00805736" w:rsidRPr="004E6AE5" w:rsidRDefault="00805736" w:rsidP="00A70A2F">
            <w:pPr>
              <w:numPr>
                <w:ilvl w:val="0"/>
                <w:numId w:val="1"/>
              </w:numPr>
              <w:pBdr>
                <w:top w:val="nil"/>
                <w:left w:val="nil"/>
                <w:bottom w:val="nil"/>
                <w:right w:val="nil"/>
                <w:between w:val="nil"/>
              </w:pBdr>
              <w:rPr>
                <w:color w:val="000000"/>
                <w:sz w:val="23"/>
                <w:szCs w:val="23"/>
              </w:rPr>
            </w:pPr>
            <w:r w:rsidRPr="004E6AE5">
              <w:rPr>
                <w:color w:val="000000"/>
                <w:sz w:val="23"/>
                <w:szCs w:val="23"/>
              </w:rPr>
              <w:t>Updated One-page FOI Manual</w:t>
            </w:r>
          </w:p>
          <w:p w14:paraId="286B0499" w14:textId="1D978C21" w:rsidR="00805736" w:rsidRPr="004E6AE5" w:rsidRDefault="00805736" w:rsidP="00A70A2F">
            <w:pPr>
              <w:numPr>
                <w:ilvl w:val="0"/>
                <w:numId w:val="1"/>
              </w:numPr>
              <w:pBdr>
                <w:top w:val="nil"/>
                <w:left w:val="nil"/>
                <w:bottom w:val="nil"/>
                <w:right w:val="nil"/>
                <w:between w:val="nil"/>
              </w:pBdr>
              <w:rPr>
                <w:color w:val="000000"/>
                <w:sz w:val="23"/>
                <w:szCs w:val="23"/>
              </w:rPr>
            </w:pPr>
            <w:r w:rsidRPr="004E6AE5">
              <w:rPr>
                <w:color w:val="000000"/>
                <w:sz w:val="23"/>
                <w:szCs w:val="23"/>
              </w:rPr>
              <w:t>FOI reports: Agency Information Inventory, 2022 FOI Registry, and 2022 FOI Summary Report</w:t>
            </w:r>
          </w:p>
          <w:p w14:paraId="2C9C1882" w14:textId="6FF41591" w:rsidR="00805736" w:rsidRPr="004E6AE5" w:rsidRDefault="00805736" w:rsidP="00A70A2F">
            <w:pPr>
              <w:numPr>
                <w:ilvl w:val="0"/>
                <w:numId w:val="1"/>
              </w:numPr>
              <w:pBdr>
                <w:top w:val="nil"/>
                <w:left w:val="nil"/>
                <w:bottom w:val="nil"/>
                <w:right w:val="nil"/>
                <w:between w:val="nil"/>
              </w:pBdr>
              <w:rPr>
                <w:color w:val="000000"/>
                <w:sz w:val="23"/>
                <w:szCs w:val="23"/>
              </w:rPr>
            </w:pPr>
            <w:r w:rsidRPr="004E6AE5">
              <w:rPr>
                <w:color w:val="000000"/>
                <w:sz w:val="23"/>
                <w:szCs w:val="23"/>
              </w:rPr>
              <w:t>Link to the agency’s dashboard in the electronic FOI (</w:t>
            </w:r>
            <w:proofErr w:type="spellStart"/>
            <w:r w:rsidRPr="004E6AE5">
              <w:rPr>
                <w:color w:val="000000"/>
                <w:sz w:val="23"/>
                <w:szCs w:val="23"/>
              </w:rPr>
              <w:t>eFOI</w:t>
            </w:r>
            <w:proofErr w:type="spellEnd"/>
            <w:r w:rsidRPr="004E6AE5">
              <w:rPr>
                <w:color w:val="000000"/>
                <w:sz w:val="23"/>
                <w:szCs w:val="23"/>
              </w:rPr>
              <w:t>) portal (</w:t>
            </w:r>
            <w:hyperlink r:id="rId9" w:history="1">
              <w:r w:rsidR="002D06FD" w:rsidRPr="004E6AE5">
                <w:rPr>
                  <w:rStyle w:val="Hyperlink"/>
                  <w:sz w:val="23"/>
                  <w:szCs w:val="23"/>
                </w:rPr>
                <w:t>www.foi.gov.ph</w:t>
              </w:r>
            </w:hyperlink>
            <w:r w:rsidR="002D06FD" w:rsidRPr="004E6AE5">
              <w:rPr>
                <w:color w:val="000000"/>
                <w:sz w:val="23"/>
                <w:szCs w:val="23"/>
              </w:rPr>
              <w:t>)</w:t>
            </w:r>
          </w:p>
          <w:p w14:paraId="7B64EC2B" w14:textId="2F970870" w:rsidR="00805736" w:rsidRPr="004E6AE5" w:rsidRDefault="00805736" w:rsidP="00A70A2F">
            <w:pPr>
              <w:numPr>
                <w:ilvl w:val="0"/>
                <w:numId w:val="1"/>
              </w:numPr>
              <w:pBdr>
                <w:top w:val="nil"/>
                <w:left w:val="nil"/>
                <w:bottom w:val="nil"/>
                <w:right w:val="nil"/>
                <w:between w:val="nil"/>
              </w:pBdr>
              <w:rPr>
                <w:color w:val="000000"/>
                <w:sz w:val="23"/>
                <w:szCs w:val="23"/>
              </w:rPr>
            </w:pPr>
            <w:r w:rsidRPr="004E6AE5">
              <w:rPr>
                <w:color w:val="000000"/>
                <w:sz w:val="23"/>
                <w:szCs w:val="23"/>
              </w:rPr>
              <w:t>Updated AID-FOI Tool</w:t>
            </w:r>
          </w:p>
          <w:p w14:paraId="6A35EB8C" w14:textId="4A507F77" w:rsidR="00776581" w:rsidRPr="004E6AE5" w:rsidRDefault="00805736" w:rsidP="00A70A2F">
            <w:pPr>
              <w:numPr>
                <w:ilvl w:val="0"/>
                <w:numId w:val="1"/>
              </w:numPr>
              <w:rPr>
                <w:rFonts w:eastAsia="Times New Roman"/>
                <w:sz w:val="23"/>
                <w:szCs w:val="23"/>
                <w:lang w:val="en-PH"/>
              </w:rPr>
            </w:pPr>
            <w:r w:rsidRPr="004E6AE5">
              <w:rPr>
                <w:color w:val="000000"/>
                <w:sz w:val="23"/>
                <w:szCs w:val="23"/>
              </w:rPr>
              <w:t>FOI Client/Customer Satisfaction Report</w:t>
            </w:r>
          </w:p>
        </w:tc>
        <w:tc>
          <w:tcPr>
            <w:tcW w:w="1842" w:type="dxa"/>
            <w:vAlign w:val="center"/>
          </w:tcPr>
          <w:p w14:paraId="319A3F3D" w14:textId="20F1CAD0" w:rsidR="00776581" w:rsidRPr="004E6AE5" w:rsidRDefault="00776581" w:rsidP="00A70A2F">
            <w:pPr>
              <w:jc w:val="center"/>
              <w:rPr>
                <w:rFonts w:eastAsia="Times New Roman"/>
                <w:sz w:val="23"/>
                <w:szCs w:val="23"/>
                <w:lang w:val="en-PH"/>
              </w:rPr>
            </w:pPr>
            <w:r w:rsidRPr="004E6AE5">
              <w:rPr>
                <w:rFonts w:eastAsia="Times New Roman"/>
                <w:sz w:val="23"/>
                <w:szCs w:val="23"/>
                <w:lang w:val="en-PH"/>
              </w:rPr>
              <w:t>PCOO</w:t>
            </w:r>
          </w:p>
        </w:tc>
      </w:tr>
      <w:tr w:rsidR="00776581" w:rsidRPr="007A2889" w14:paraId="69B544C0" w14:textId="7C0DBA99" w:rsidTr="00A70A2F">
        <w:trPr>
          <w:trHeight w:val="1215"/>
        </w:trPr>
        <w:tc>
          <w:tcPr>
            <w:tcW w:w="2122" w:type="dxa"/>
            <w:tcMar>
              <w:top w:w="0" w:type="dxa"/>
              <w:left w:w="45" w:type="dxa"/>
              <w:bottom w:w="0" w:type="dxa"/>
              <w:right w:w="45" w:type="dxa"/>
            </w:tcMar>
            <w:vAlign w:val="center"/>
            <w:hideMark/>
          </w:tcPr>
          <w:p w14:paraId="3E870F04" w14:textId="63AF5916" w:rsidR="00776581" w:rsidRPr="007A2889" w:rsidRDefault="00776581" w:rsidP="00A70A2F">
            <w:pPr>
              <w:rPr>
                <w:rFonts w:eastAsia="Times New Roman"/>
                <w:sz w:val="23"/>
                <w:szCs w:val="23"/>
                <w:lang w:val="en-PH"/>
              </w:rPr>
            </w:pPr>
            <w:r w:rsidRPr="004E6AE5">
              <w:rPr>
                <w:rFonts w:eastAsia="Times New Roman"/>
                <w:sz w:val="23"/>
                <w:szCs w:val="23"/>
                <w:lang w:val="en-PH"/>
              </w:rPr>
              <w:t>February 28, 2023</w:t>
            </w:r>
          </w:p>
        </w:tc>
        <w:tc>
          <w:tcPr>
            <w:tcW w:w="5670" w:type="dxa"/>
            <w:tcMar>
              <w:top w:w="0" w:type="dxa"/>
              <w:left w:w="45" w:type="dxa"/>
              <w:bottom w:w="0" w:type="dxa"/>
              <w:right w:w="45" w:type="dxa"/>
            </w:tcMar>
            <w:vAlign w:val="center"/>
            <w:hideMark/>
          </w:tcPr>
          <w:p w14:paraId="21FE37D9" w14:textId="77777777" w:rsidR="0061193B" w:rsidRDefault="00776581" w:rsidP="00A70A2F">
            <w:pPr>
              <w:rPr>
                <w:rFonts w:eastAsia="Times New Roman"/>
                <w:b/>
                <w:bCs/>
                <w:sz w:val="23"/>
                <w:szCs w:val="23"/>
                <w:lang w:val="en-PH"/>
              </w:rPr>
            </w:pPr>
            <w:r w:rsidRPr="007A2889">
              <w:rPr>
                <w:rFonts w:eastAsia="Times New Roman"/>
                <w:b/>
                <w:bCs/>
                <w:sz w:val="23"/>
                <w:szCs w:val="23"/>
                <w:lang w:val="en-PH"/>
              </w:rPr>
              <w:t xml:space="preserve">Designation of the Agency’s Committee on </w:t>
            </w:r>
          </w:p>
          <w:p w14:paraId="1D5F5B8F" w14:textId="23201CD1" w:rsidR="00776581" w:rsidRPr="004E6AE5" w:rsidRDefault="00776581" w:rsidP="00A70A2F">
            <w:pPr>
              <w:rPr>
                <w:rFonts w:eastAsia="Times New Roman"/>
                <w:b/>
                <w:bCs/>
                <w:sz w:val="23"/>
                <w:szCs w:val="23"/>
                <w:lang w:val="en-PH"/>
              </w:rPr>
            </w:pPr>
            <w:r w:rsidRPr="007A2889">
              <w:rPr>
                <w:rFonts w:eastAsia="Times New Roman"/>
                <w:b/>
                <w:bCs/>
                <w:sz w:val="23"/>
                <w:szCs w:val="23"/>
                <w:lang w:val="en-PH"/>
              </w:rPr>
              <w:t>Anti-Red Tape (CART)</w:t>
            </w:r>
            <w:r w:rsidRPr="004E6AE5">
              <w:rPr>
                <w:rFonts w:eastAsia="Times New Roman"/>
                <w:b/>
                <w:bCs/>
                <w:sz w:val="23"/>
                <w:szCs w:val="23"/>
                <w:lang w:val="en-PH"/>
              </w:rPr>
              <w:t xml:space="preserve"> </w:t>
            </w:r>
          </w:p>
          <w:p w14:paraId="630650CD" w14:textId="77777777" w:rsidR="00776581" w:rsidRPr="004E6AE5" w:rsidRDefault="00776581" w:rsidP="00A70A2F">
            <w:pPr>
              <w:rPr>
                <w:rFonts w:eastAsia="Times New Roman"/>
                <w:sz w:val="23"/>
                <w:szCs w:val="23"/>
                <w:lang w:val="en-PH"/>
              </w:rPr>
            </w:pPr>
          </w:p>
          <w:p w14:paraId="5E57CF36" w14:textId="246B28AE" w:rsidR="00776581" w:rsidRPr="007A2889" w:rsidRDefault="00776581" w:rsidP="00A70A2F">
            <w:pPr>
              <w:rPr>
                <w:rFonts w:eastAsia="Times New Roman"/>
                <w:sz w:val="23"/>
                <w:szCs w:val="23"/>
                <w:lang w:val="en-PH"/>
              </w:rPr>
            </w:pPr>
            <w:r w:rsidRPr="007A2889">
              <w:rPr>
                <w:rFonts w:eastAsia="Times New Roman"/>
                <w:sz w:val="23"/>
                <w:szCs w:val="23"/>
                <w:lang w:val="en-PH"/>
              </w:rPr>
              <w:t xml:space="preserve">Compliance and submission </w:t>
            </w:r>
            <w:r w:rsidR="00B17C34">
              <w:rPr>
                <w:rFonts w:eastAsia="Times New Roman"/>
                <w:sz w:val="23"/>
                <w:szCs w:val="23"/>
                <w:lang w:val="en-PH"/>
              </w:rPr>
              <w:t xml:space="preserve">of requirements </w:t>
            </w:r>
            <w:r w:rsidRPr="007A2889">
              <w:rPr>
                <w:rFonts w:eastAsia="Times New Roman"/>
                <w:sz w:val="23"/>
                <w:szCs w:val="23"/>
                <w:lang w:val="en-PH"/>
              </w:rPr>
              <w:t>to ARTA</w:t>
            </w:r>
            <w:r w:rsidRPr="004E6AE5">
              <w:rPr>
                <w:rFonts w:eastAsia="Times New Roman"/>
                <w:sz w:val="23"/>
                <w:szCs w:val="23"/>
                <w:lang w:val="en-PH"/>
              </w:rPr>
              <w:t xml:space="preserve"> </w:t>
            </w:r>
            <w:r w:rsidR="00B17C34">
              <w:rPr>
                <w:rFonts w:eastAsia="Times New Roman"/>
                <w:sz w:val="23"/>
                <w:szCs w:val="23"/>
                <w:lang w:val="en-PH"/>
              </w:rPr>
              <w:t>pertaining to the</w:t>
            </w:r>
            <w:r w:rsidRPr="004E6AE5">
              <w:rPr>
                <w:rFonts w:eastAsia="Times New Roman"/>
                <w:sz w:val="23"/>
                <w:szCs w:val="23"/>
                <w:lang w:val="en-PH"/>
              </w:rPr>
              <w:t xml:space="preserve"> agency</w:t>
            </w:r>
            <w:r w:rsidR="0061193B">
              <w:rPr>
                <w:rFonts w:eastAsia="Times New Roman"/>
                <w:sz w:val="23"/>
                <w:szCs w:val="23"/>
                <w:lang w:val="en-PH"/>
              </w:rPr>
              <w:t>’s</w:t>
            </w:r>
            <w:r w:rsidRPr="004E6AE5">
              <w:rPr>
                <w:rFonts w:eastAsia="Times New Roman"/>
                <w:sz w:val="23"/>
                <w:szCs w:val="23"/>
                <w:lang w:val="en-PH"/>
              </w:rPr>
              <w:t xml:space="preserve"> CART</w:t>
            </w:r>
            <w:r w:rsidR="0061193B">
              <w:rPr>
                <w:rFonts w:eastAsia="Times New Roman"/>
                <w:sz w:val="23"/>
                <w:szCs w:val="23"/>
                <w:lang w:val="en-PH"/>
              </w:rPr>
              <w:t xml:space="preserve"> as stated in </w:t>
            </w:r>
            <w:r w:rsidR="007C4C42">
              <w:rPr>
                <w:rFonts w:eastAsia="Times New Roman"/>
                <w:sz w:val="23"/>
                <w:szCs w:val="23"/>
                <w:lang w:val="en-PH"/>
              </w:rPr>
              <w:t xml:space="preserve">ARTA MC No. 2020-007. </w:t>
            </w:r>
          </w:p>
        </w:tc>
        <w:tc>
          <w:tcPr>
            <w:tcW w:w="1842" w:type="dxa"/>
            <w:vAlign w:val="center"/>
          </w:tcPr>
          <w:p w14:paraId="35BC79A4" w14:textId="59EAD07E" w:rsidR="00776581" w:rsidRPr="004E6AE5" w:rsidRDefault="00776581" w:rsidP="00A70A2F">
            <w:pPr>
              <w:jc w:val="center"/>
              <w:rPr>
                <w:rFonts w:eastAsia="Times New Roman"/>
                <w:sz w:val="23"/>
                <w:szCs w:val="23"/>
                <w:lang w:val="en-PH"/>
              </w:rPr>
            </w:pPr>
            <w:r w:rsidRPr="004E6AE5">
              <w:rPr>
                <w:rFonts w:eastAsia="Times New Roman"/>
                <w:sz w:val="23"/>
                <w:szCs w:val="23"/>
                <w:lang w:val="en-PH"/>
              </w:rPr>
              <w:t>ARTA</w:t>
            </w:r>
          </w:p>
        </w:tc>
      </w:tr>
    </w:tbl>
    <w:p w14:paraId="0000003B" w14:textId="77777777" w:rsidR="0077736F" w:rsidRDefault="0077736F">
      <w:pPr>
        <w:spacing w:line="240" w:lineRule="auto"/>
        <w:rPr>
          <w:sz w:val="20"/>
          <w:szCs w:val="20"/>
        </w:rPr>
      </w:pPr>
    </w:p>
    <w:p w14:paraId="0000003C" w14:textId="77777777" w:rsidR="0077736F" w:rsidRDefault="0077736F">
      <w:pPr>
        <w:spacing w:line="240" w:lineRule="auto"/>
        <w:rPr>
          <w:sz w:val="20"/>
          <w:szCs w:val="20"/>
        </w:rPr>
      </w:pPr>
    </w:p>
    <w:p w14:paraId="29390978" w14:textId="77777777" w:rsidR="005C6B4E" w:rsidRDefault="006A093D" w:rsidP="005C6B4E">
      <w:pPr>
        <w:widowControl w:val="0"/>
        <w:ind w:firstLine="11"/>
        <w:jc w:val="both"/>
        <w:rPr>
          <w:i/>
          <w:sz w:val="20"/>
          <w:szCs w:val="20"/>
        </w:rPr>
      </w:pPr>
      <w:r>
        <w:rPr>
          <w:i/>
          <w:sz w:val="20"/>
          <w:szCs w:val="20"/>
        </w:rPr>
        <w:t>Note</w:t>
      </w:r>
      <w:r w:rsidR="005C6B4E">
        <w:rPr>
          <w:i/>
          <w:sz w:val="20"/>
          <w:szCs w:val="20"/>
        </w:rPr>
        <w:t>s</w:t>
      </w:r>
      <w:r>
        <w:rPr>
          <w:i/>
          <w:sz w:val="20"/>
          <w:szCs w:val="20"/>
        </w:rPr>
        <w:t xml:space="preserve">: </w:t>
      </w:r>
    </w:p>
    <w:p w14:paraId="35E68DD4" w14:textId="77777777" w:rsidR="005C6B4E" w:rsidRDefault="005C6B4E" w:rsidP="005C6B4E">
      <w:pPr>
        <w:widowControl w:val="0"/>
        <w:ind w:firstLine="11"/>
        <w:jc w:val="both"/>
        <w:rPr>
          <w:i/>
          <w:sz w:val="20"/>
          <w:szCs w:val="20"/>
        </w:rPr>
      </w:pPr>
    </w:p>
    <w:p w14:paraId="0000003D" w14:textId="5C74D50D" w:rsidR="0077736F" w:rsidRPr="005C6B4E" w:rsidRDefault="005C6B4E" w:rsidP="005C6B4E">
      <w:pPr>
        <w:widowControl w:val="0"/>
        <w:ind w:firstLine="11"/>
        <w:jc w:val="both"/>
        <w:rPr>
          <w:i/>
          <w:sz w:val="20"/>
          <w:szCs w:val="20"/>
        </w:rPr>
      </w:pPr>
      <w:r w:rsidRPr="005C6B4E">
        <w:rPr>
          <w:i/>
          <w:sz w:val="20"/>
          <w:szCs w:val="20"/>
        </w:rPr>
        <w:t>*</w:t>
      </w:r>
      <w:r w:rsidR="006A093D" w:rsidRPr="005C6B4E">
        <w:rPr>
          <w:i/>
          <w:sz w:val="20"/>
          <w:szCs w:val="20"/>
        </w:rPr>
        <w:t>As provided in MC No. 202</w:t>
      </w:r>
      <w:r w:rsidR="002D06FD">
        <w:rPr>
          <w:i/>
          <w:sz w:val="20"/>
          <w:szCs w:val="20"/>
        </w:rPr>
        <w:t>2</w:t>
      </w:r>
      <w:r w:rsidR="006A093D" w:rsidRPr="005C6B4E">
        <w:rPr>
          <w:i/>
          <w:sz w:val="20"/>
          <w:szCs w:val="20"/>
        </w:rPr>
        <w:t xml:space="preserve">-1, while the above conditions are no longer required in determining the overall PBB eligibility of agencies, compliance with these conditions shall be used as the basis in determining the eligibility of responsible units and individuals. Agencies should submit these requirements directly to the oversight/validating agencies. </w:t>
      </w:r>
    </w:p>
    <w:p w14:paraId="0000003E" w14:textId="0FD068A7" w:rsidR="0077736F" w:rsidRPr="005C6B4E" w:rsidRDefault="0077736F" w:rsidP="005C6B4E">
      <w:pPr>
        <w:spacing w:line="240" w:lineRule="auto"/>
        <w:jc w:val="both"/>
        <w:rPr>
          <w:sz w:val="20"/>
          <w:szCs w:val="20"/>
        </w:rPr>
      </w:pPr>
    </w:p>
    <w:p w14:paraId="098E431E" w14:textId="2ECC0EBF" w:rsidR="002D06FD" w:rsidRPr="007331AA" w:rsidRDefault="005C6B4E" w:rsidP="007331AA">
      <w:pPr>
        <w:spacing w:line="240" w:lineRule="auto"/>
        <w:jc w:val="both"/>
        <w:rPr>
          <w:i/>
          <w:iCs/>
          <w:sz w:val="20"/>
          <w:szCs w:val="20"/>
        </w:rPr>
      </w:pPr>
      <w:r w:rsidRPr="005C6B4E">
        <w:rPr>
          <w:sz w:val="20"/>
          <w:szCs w:val="20"/>
        </w:rPr>
        <w:t>**</w:t>
      </w:r>
      <w:r w:rsidRPr="005C6B4E">
        <w:rPr>
          <w:i/>
          <w:iCs/>
          <w:sz w:val="20"/>
          <w:szCs w:val="20"/>
        </w:rPr>
        <w:t>The oversight/validating agencies have the authority to modify their requirements and timelines as necessary. A</w:t>
      </w:r>
      <w:r>
        <w:rPr>
          <w:i/>
          <w:iCs/>
          <w:sz w:val="20"/>
          <w:szCs w:val="20"/>
        </w:rPr>
        <w:t>ge</w:t>
      </w:r>
      <w:r w:rsidRPr="005C6B4E">
        <w:rPr>
          <w:i/>
          <w:iCs/>
          <w:sz w:val="20"/>
          <w:szCs w:val="20"/>
        </w:rPr>
        <w:t>ncie</w:t>
      </w:r>
      <w:r>
        <w:rPr>
          <w:i/>
          <w:iCs/>
          <w:sz w:val="20"/>
          <w:szCs w:val="20"/>
        </w:rPr>
        <w:t xml:space="preserve">s </w:t>
      </w:r>
      <w:r w:rsidR="009B2EF2">
        <w:rPr>
          <w:i/>
          <w:iCs/>
          <w:sz w:val="20"/>
          <w:szCs w:val="20"/>
        </w:rPr>
        <w:t>should</w:t>
      </w:r>
      <w:r>
        <w:rPr>
          <w:i/>
          <w:iCs/>
          <w:sz w:val="20"/>
          <w:szCs w:val="20"/>
        </w:rPr>
        <w:t xml:space="preserve"> directly contact the oversight/validating agencies of the above-mentioned Agency Accountabilities for updates and concerns</w:t>
      </w:r>
      <w:r w:rsidR="007331AA">
        <w:rPr>
          <w:i/>
          <w:iCs/>
          <w:sz w:val="20"/>
          <w:szCs w:val="20"/>
        </w:rPr>
        <w:t>.</w:t>
      </w:r>
    </w:p>
    <w:p w14:paraId="041DCBF9" w14:textId="0626B7C6" w:rsidR="002D06FD" w:rsidRPr="002D06FD" w:rsidRDefault="002D06FD" w:rsidP="002D06FD">
      <w:pPr>
        <w:rPr>
          <w:sz w:val="20"/>
          <w:szCs w:val="20"/>
        </w:rPr>
      </w:pPr>
    </w:p>
    <w:p w14:paraId="1664CFC5" w14:textId="34836BD2" w:rsidR="002D06FD" w:rsidRPr="002D06FD" w:rsidRDefault="002D06FD" w:rsidP="002D06FD">
      <w:pPr>
        <w:rPr>
          <w:sz w:val="20"/>
          <w:szCs w:val="20"/>
        </w:rPr>
      </w:pPr>
    </w:p>
    <w:p w14:paraId="5FA64678" w14:textId="77777777" w:rsidR="002D06FD" w:rsidRPr="002D06FD" w:rsidRDefault="002D06FD" w:rsidP="002D06FD">
      <w:pPr>
        <w:rPr>
          <w:sz w:val="20"/>
          <w:szCs w:val="20"/>
        </w:rPr>
      </w:pPr>
    </w:p>
    <w:sectPr w:rsidR="002D06FD" w:rsidRPr="002D06FD" w:rsidSect="00DE5B94">
      <w:footerReference w:type="default" r:id="rId10"/>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2C9A5" w14:textId="77777777" w:rsidR="00A57FC1" w:rsidRDefault="00A57FC1">
      <w:pPr>
        <w:spacing w:line="240" w:lineRule="auto"/>
      </w:pPr>
      <w:r>
        <w:separator/>
      </w:r>
    </w:p>
  </w:endnote>
  <w:endnote w:type="continuationSeparator" w:id="0">
    <w:p w14:paraId="1D2A3610" w14:textId="77777777" w:rsidR="00A57FC1" w:rsidRDefault="00A57F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F" w14:textId="375864DD" w:rsidR="0077736F" w:rsidRPr="002D06FD" w:rsidRDefault="006A093D">
    <w:pPr>
      <w:jc w:val="right"/>
      <w:rPr>
        <w:sz w:val="20"/>
        <w:szCs w:val="20"/>
      </w:rPr>
    </w:pPr>
    <w:r w:rsidRPr="002D06FD">
      <w:rPr>
        <w:sz w:val="20"/>
        <w:szCs w:val="20"/>
      </w:rPr>
      <w:t xml:space="preserve">Page </w:t>
    </w:r>
    <w:r w:rsidRPr="002D06FD">
      <w:rPr>
        <w:b/>
        <w:bCs/>
        <w:sz w:val="20"/>
        <w:szCs w:val="20"/>
      </w:rPr>
      <w:fldChar w:fldCharType="begin"/>
    </w:r>
    <w:r w:rsidRPr="002D06FD">
      <w:rPr>
        <w:b/>
        <w:bCs/>
        <w:sz w:val="20"/>
        <w:szCs w:val="20"/>
      </w:rPr>
      <w:instrText>PAGE</w:instrText>
    </w:r>
    <w:r w:rsidRPr="002D06FD">
      <w:rPr>
        <w:b/>
        <w:bCs/>
        <w:sz w:val="20"/>
        <w:szCs w:val="20"/>
      </w:rPr>
      <w:fldChar w:fldCharType="separate"/>
    </w:r>
    <w:r w:rsidR="008723FD" w:rsidRPr="002D06FD">
      <w:rPr>
        <w:b/>
        <w:bCs/>
        <w:noProof/>
        <w:sz w:val="20"/>
        <w:szCs w:val="20"/>
      </w:rPr>
      <w:t>1</w:t>
    </w:r>
    <w:r w:rsidRPr="002D06FD">
      <w:rPr>
        <w:b/>
        <w:bCs/>
        <w:sz w:val="20"/>
        <w:szCs w:val="20"/>
      </w:rPr>
      <w:fldChar w:fldCharType="end"/>
    </w:r>
    <w:r w:rsidRPr="002D06FD">
      <w:rPr>
        <w:b/>
        <w:bCs/>
        <w:sz w:val="20"/>
        <w:szCs w:val="20"/>
      </w:rPr>
      <w:t xml:space="preserve"> </w:t>
    </w:r>
    <w:r w:rsidRPr="002D06FD">
      <w:rPr>
        <w:sz w:val="20"/>
        <w:szCs w:val="20"/>
      </w:rPr>
      <w:t>of</w:t>
    </w:r>
    <w:r w:rsidRPr="002D06FD">
      <w:rPr>
        <w:b/>
        <w:bCs/>
        <w:sz w:val="20"/>
        <w:szCs w:val="20"/>
      </w:rPr>
      <w:t xml:space="preserve"> </w:t>
    </w:r>
    <w:r w:rsidR="004A7247" w:rsidRPr="002D06FD">
      <w:rPr>
        <w:b/>
        <w:bCs/>
        <w:sz w:val="20"/>
        <w:szCs w:val="20"/>
      </w:rPr>
      <w:t>2</w:t>
    </w:r>
  </w:p>
  <w:p w14:paraId="00000040" w14:textId="799A3800" w:rsidR="0077736F" w:rsidRPr="002D06FD" w:rsidRDefault="002D06FD">
    <w:pPr>
      <w:jc w:val="right"/>
      <w:rPr>
        <w:sz w:val="20"/>
        <w:szCs w:val="20"/>
      </w:rPr>
    </w:pPr>
    <w:r w:rsidRPr="002D06FD">
      <w:rPr>
        <w:sz w:val="20"/>
        <w:szCs w:val="20"/>
      </w:rPr>
      <w:t xml:space="preserve">Annex </w:t>
    </w:r>
    <w:r w:rsidR="004774C3">
      <w:rPr>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535B9" w14:textId="77777777" w:rsidR="00A57FC1" w:rsidRDefault="00A57FC1">
      <w:pPr>
        <w:spacing w:line="240" w:lineRule="auto"/>
      </w:pPr>
      <w:r>
        <w:separator/>
      </w:r>
    </w:p>
  </w:footnote>
  <w:footnote w:type="continuationSeparator" w:id="0">
    <w:p w14:paraId="3B0BF2F5" w14:textId="77777777" w:rsidR="00A57FC1" w:rsidRDefault="00A57F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E3A31"/>
    <w:multiLevelType w:val="multilevel"/>
    <w:tmpl w:val="4E465A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3tjA2MTY2tbA0NDNS0lEKTi0uzszPAykwNKoFACNmDgYtAAAA"/>
  </w:docVars>
  <w:rsids>
    <w:rsidRoot w:val="0077736F"/>
    <w:rsid w:val="000400A3"/>
    <w:rsid w:val="000E4B4D"/>
    <w:rsid w:val="00152AAA"/>
    <w:rsid w:val="001F23EE"/>
    <w:rsid w:val="00203C70"/>
    <w:rsid w:val="0027059B"/>
    <w:rsid w:val="00277A97"/>
    <w:rsid w:val="0028068A"/>
    <w:rsid w:val="002B35C9"/>
    <w:rsid w:val="002D06FD"/>
    <w:rsid w:val="002E31B4"/>
    <w:rsid w:val="002F040D"/>
    <w:rsid w:val="0030486E"/>
    <w:rsid w:val="003521F2"/>
    <w:rsid w:val="00383840"/>
    <w:rsid w:val="00384A4D"/>
    <w:rsid w:val="003B012E"/>
    <w:rsid w:val="003C424D"/>
    <w:rsid w:val="004250DE"/>
    <w:rsid w:val="0043121D"/>
    <w:rsid w:val="00445984"/>
    <w:rsid w:val="004774C3"/>
    <w:rsid w:val="00492FF8"/>
    <w:rsid w:val="004A2162"/>
    <w:rsid w:val="004A7247"/>
    <w:rsid w:val="004E6AE5"/>
    <w:rsid w:val="00552642"/>
    <w:rsid w:val="00565C60"/>
    <w:rsid w:val="00583B22"/>
    <w:rsid w:val="005C6B4E"/>
    <w:rsid w:val="0061193B"/>
    <w:rsid w:val="0065025B"/>
    <w:rsid w:val="00662596"/>
    <w:rsid w:val="00663B61"/>
    <w:rsid w:val="006A093D"/>
    <w:rsid w:val="006C4502"/>
    <w:rsid w:val="006D5BF1"/>
    <w:rsid w:val="007331AA"/>
    <w:rsid w:val="00761B77"/>
    <w:rsid w:val="00776581"/>
    <w:rsid w:val="0077736F"/>
    <w:rsid w:val="007A2889"/>
    <w:rsid w:val="007A5D52"/>
    <w:rsid w:val="007C4C42"/>
    <w:rsid w:val="007E1417"/>
    <w:rsid w:val="00805736"/>
    <w:rsid w:val="00825674"/>
    <w:rsid w:val="00856880"/>
    <w:rsid w:val="008723FD"/>
    <w:rsid w:val="008F2A25"/>
    <w:rsid w:val="008F3425"/>
    <w:rsid w:val="00942950"/>
    <w:rsid w:val="00953A11"/>
    <w:rsid w:val="00973BF7"/>
    <w:rsid w:val="00986B15"/>
    <w:rsid w:val="009B2EF2"/>
    <w:rsid w:val="009E4BBC"/>
    <w:rsid w:val="009F0E01"/>
    <w:rsid w:val="00A57FC1"/>
    <w:rsid w:val="00A70A2F"/>
    <w:rsid w:val="00AB290D"/>
    <w:rsid w:val="00B140BA"/>
    <w:rsid w:val="00B17C34"/>
    <w:rsid w:val="00B23854"/>
    <w:rsid w:val="00B27CA9"/>
    <w:rsid w:val="00B30F4E"/>
    <w:rsid w:val="00B35F4A"/>
    <w:rsid w:val="00B3608D"/>
    <w:rsid w:val="00B47825"/>
    <w:rsid w:val="00B53D1F"/>
    <w:rsid w:val="00BA467E"/>
    <w:rsid w:val="00C057E8"/>
    <w:rsid w:val="00C33F73"/>
    <w:rsid w:val="00C37A3D"/>
    <w:rsid w:val="00C46FC0"/>
    <w:rsid w:val="00C569CF"/>
    <w:rsid w:val="00C76107"/>
    <w:rsid w:val="00C76891"/>
    <w:rsid w:val="00DA5066"/>
    <w:rsid w:val="00DC1BDC"/>
    <w:rsid w:val="00DD20B7"/>
    <w:rsid w:val="00DE51F4"/>
    <w:rsid w:val="00DE5B94"/>
    <w:rsid w:val="00DF4A47"/>
    <w:rsid w:val="00E65C9D"/>
    <w:rsid w:val="00E81B64"/>
    <w:rsid w:val="00E97778"/>
    <w:rsid w:val="00EB02A0"/>
    <w:rsid w:val="00F013A0"/>
    <w:rsid w:val="00F31812"/>
    <w:rsid w:val="00F56676"/>
    <w:rsid w:val="00F76615"/>
    <w:rsid w:val="00F90D4F"/>
    <w:rsid w:val="00F93AC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3AE17"/>
  <w15:docId w15:val="{C72AFDDF-5C80-4D57-A0B6-E0F2BA2E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570558"/>
    <w:rPr>
      <w:sz w:val="16"/>
      <w:szCs w:val="16"/>
    </w:rPr>
  </w:style>
  <w:style w:type="paragraph" w:styleId="CommentText">
    <w:name w:val="annotation text"/>
    <w:basedOn w:val="Normal"/>
    <w:link w:val="CommentTextChar"/>
    <w:uiPriority w:val="99"/>
    <w:semiHidden/>
    <w:unhideWhenUsed/>
    <w:rsid w:val="00570558"/>
    <w:pPr>
      <w:spacing w:line="240" w:lineRule="auto"/>
    </w:pPr>
    <w:rPr>
      <w:sz w:val="20"/>
      <w:szCs w:val="20"/>
    </w:rPr>
  </w:style>
  <w:style w:type="character" w:customStyle="1" w:styleId="CommentTextChar">
    <w:name w:val="Comment Text Char"/>
    <w:basedOn w:val="DefaultParagraphFont"/>
    <w:link w:val="CommentText"/>
    <w:uiPriority w:val="99"/>
    <w:semiHidden/>
    <w:rsid w:val="00570558"/>
    <w:rPr>
      <w:sz w:val="20"/>
      <w:szCs w:val="20"/>
    </w:rPr>
  </w:style>
  <w:style w:type="paragraph" w:styleId="CommentSubject">
    <w:name w:val="annotation subject"/>
    <w:basedOn w:val="CommentText"/>
    <w:next w:val="CommentText"/>
    <w:link w:val="CommentSubjectChar"/>
    <w:uiPriority w:val="99"/>
    <w:semiHidden/>
    <w:unhideWhenUsed/>
    <w:rsid w:val="00570558"/>
    <w:rPr>
      <w:b/>
      <w:bCs/>
    </w:rPr>
  </w:style>
  <w:style w:type="character" w:customStyle="1" w:styleId="CommentSubjectChar">
    <w:name w:val="Comment Subject Char"/>
    <w:basedOn w:val="CommentTextChar"/>
    <w:link w:val="CommentSubject"/>
    <w:uiPriority w:val="99"/>
    <w:semiHidden/>
    <w:rsid w:val="00570558"/>
    <w:rPr>
      <w:b/>
      <w:bCs/>
      <w:sz w:val="20"/>
      <w:szCs w:val="20"/>
    </w:rPr>
  </w:style>
  <w:style w:type="paragraph" w:styleId="BalloonText">
    <w:name w:val="Balloon Text"/>
    <w:basedOn w:val="Normal"/>
    <w:link w:val="BalloonTextChar"/>
    <w:uiPriority w:val="99"/>
    <w:semiHidden/>
    <w:unhideWhenUsed/>
    <w:rsid w:val="005705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558"/>
    <w:rPr>
      <w:rFonts w:ascii="Segoe UI" w:hAnsi="Segoe UI" w:cs="Segoe UI"/>
      <w:sz w:val="18"/>
      <w:szCs w:val="18"/>
    </w:rPr>
  </w:style>
  <w:style w:type="paragraph" w:styleId="FootnoteText">
    <w:name w:val="footnote text"/>
    <w:basedOn w:val="Normal"/>
    <w:link w:val="FootnoteTextChar"/>
    <w:uiPriority w:val="99"/>
    <w:semiHidden/>
    <w:unhideWhenUsed/>
    <w:rsid w:val="001D0278"/>
    <w:pPr>
      <w:spacing w:line="240" w:lineRule="auto"/>
    </w:pPr>
    <w:rPr>
      <w:sz w:val="20"/>
      <w:szCs w:val="20"/>
    </w:rPr>
  </w:style>
  <w:style w:type="character" w:customStyle="1" w:styleId="FootnoteTextChar">
    <w:name w:val="Footnote Text Char"/>
    <w:basedOn w:val="DefaultParagraphFont"/>
    <w:link w:val="FootnoteText"/>
    <w:uiPriority w:val="99"/>
    <w:semiHidden/>
    <w:rsid w:val="001D0278"/>
    <w:rPr>
      <w:sz w:val="20"/>
      <w:szCs w:val="20"/>
    </w:rPr>
  </w:style>
  <w:style w:type="character" w:styleId="FootnoteReference">
    <w:name w:val="footnote reference"/>
    <w:basedOn w:val="DefaultParagraphFont"/>
    <w:uiPriority w:val="99"/>
    <w:semiHidden/>
    <w:unhideWhenUsed/>
    <w:rsid w:val="001D0278"/>
    <w:rPr>
      <w:vertAlign w:val="superscript"/>
    </w:rPr>
  </w:style>
  <w:style w:type="paragraph" w:styleId="Header">
    <w:name w:val="header"/>
    <w:basedOn w:val="Normal"/>
    <w:link w:val="HeaderChar"/>
    <w:uiPriority w:val="99"/>
    <w:unhideWhenUsed/>
    <w:rsid w:val="00A41428"/>
    <w:pPr>
      <w:tabs>
        <w:tab w:val="center" w:pos="4680"/>
        <w:tab w:val="right" w:pos="9360"/>
      </w:tabs>
      <w:spacing w:line="240" w:lineRule="auto"/>
    </w:pPr>
  </w:style>
  <w:style w:type="character" w:customStyle="1" w:styleId="HeaderChar">
    <w:name w:val="Header Char"/>
    <w:basedOn w:val="DefaultParagraphFont"/>
    <w:link w:val="Header"/>
    <w:uiPriority w:val="99"/>
    <w:rsid w:val="00A41428"/>
  </w:style>
  <w:style w:type="paragraph" w:styleId="Footer">
    <w:name w:val="footer"/>
    <w:basedOn w:val="Normal"/>
    <w:link w:val="FooterChar"/>
    <w:uiPriority w:val="99"/>
    <w:unhideWhenUsed/>
    <w:rsid w:val="00A41428"/>
    <w:pPr>
      <w:tabs>
        <w:tab w:val="center" w:pos="4680"/>
        <w:tab w:val="right" w:pos="9360"/>
      </w:tabs>
      <w:spacing w:line="240" w:lineRule="auto"/>
    </w:pPr>
  </w:style>
  <w:style w:type="character" w:customStyle="1" w:styleId="FooterChar">
    <w:name w:val="Footer Char"/>
    <w:basedOn w:val="DefaultParagraphFont"/>
    <w:link w:val="Footer"/>
    <w:uiPriority w:val="99"/>
    <w:rsid w:val="00A41428"/>
  </w:style>
  <w:style w:type="paragraph" w:styleId="ListParagraph">
    <w:name w:val="List Paragraph"/>
    <w:basedOn w:val="Normal"/>
    <w:uiPriority w:val="34"/>
    <w:qFormat/>
    <w:rsid w:val="00BA5F86"/>
    <w:pPr>
      <w:spacing w:line="240" w:lineRule="auto"/>
      <w:ind w:left="720"/>
      <w:contextualSpacing/>
    </w:pPr>
    <w:rPr>
      <w:rFonts w:ascii="Cambria" w:eastAsia="Cambria" w:hAnsi="Cambria" w:cs="Cambria"/>
      <w:sz w:val="24"/>
      <w:szCs w:val="24"/>
      <w:lang w:val="en-US"/>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383840"/>
    <w:rPr>
      <w:color w:val="0000FF" w:themeColor="hyperlink"/>
      <w:u w:val="single"/>
    </w:rPr>
  </w:style>
  <w:style w:type="character" w:customStyle="1" w:styleId="UnresolvedMention1">
    <w:name w:val="Unresolved Mention1"/>
    <w:basedOn w:val="DefaultParagraphFont"/>
    <w:uiPriority w:val="99"/>
    <w:semiHidden/>
    <w:unhideWhenUsed/>
    <w:rsid w:val="00383840"/>
    <w:rPr>
      <w:color w:val="605E5C"/>
      <w:shd w:val="clear" w:color="auto" w:fill="E1DFDD"/>
    </w:rPr>
  </w:style>
  <w:style w:type="character" w:styleId="UnresolvedMention">
    <w:name w:val="Unresolved Mention"/>
    <w:basedOn w:val="DefaultParagraphFont"/>
    <w:uiPriority w:val="99"/>
    <w:semiHidden/>
    <w:unhideWhenUsed/>
    <w:rsid w:val="002D0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135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foi.gov.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jezNJ/1341wC6BNKQAxRVuzDrQ==">AMUW2mVVieqf426wcEnoP4lACnLKguh/G0sdD4rOyzNUqfIUXJvM00+HFO3AvqRWCqUCDKfZUNuns28QgAYyVkYjfC639e8+PFmoIq6N4tS6wskunEzspgL3d84GEXZXeMyxJrfOssWR8ml5aB2YemQRWIO5NSySYQ45NXTuzfQMOmB9CuVXG78=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0FA286A-C515-4427-BBCC-06DDBB432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DAP-USER</dc:creator>
  <cp:lastModifiedBy>TENGSON, CRISMEL DARA G.</cp:lastModifiedBy>
  <cp:revision>30</cp:revision>
  <cp:lastPrinted>2022-03-22T08:11:00Z</cp:lastPrinted>
  <dcterms:created xsi:type="dcterms:W3CDTF">2021-11-11T07:09:00Z</dcterms:created>
  <dcterms:modified xsi:type="dcterms:W3CDTF">2022-03-22T08:11:00Z</dcterms:modified>
</cp:coreProperties>
</file>