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03" w:type="dxa"/>
        <w:tblLook w:val="04A0" w:firstRow="1" w:lastRow="0" w:firstColumn="1" w:lastColumn="0" w:noHBand="0" w:noVBand="1"/>
      </w:tblPr>
      <w:tblGrid>
        <w:gridCol w:w="5597"/>
        <w:gridCol w:w="4428"/>
        <w:gridCol w:w="4278"/>
      </w:tblGrid>
      <w:tr w:rsidR="00040EFE" w14:paraId="0EA24E5D" w14:textId="77777777" w:rsidTr="004F73D6">
        <w:trPr>
          <w:trHeight w:val="263"/>
          <w:tblHeader/>
        </w:trPr>
        <w:tc>
          <w:tcPr>
            <w:tcW w:w="5597" w:type="dxa"/>
          </w:tcPr>
          <w:p w14:paraId="48D0075C" w14:textId="1608EB80" w:rsidR="00040EFE" w:rsidRPr="0007060A" w:rsidRDefault="00040EFE" w:rsidP="00040EFE">
            <w:pPr>
              <w:jc w:val="center"/>
              <w:rPr>
                <w:rFonts w:ascii="Arial" w:hAnsi="Arial" w:cs="Arial"/>
                <w:b/>
                <w:bCs/>
                <w:sz w:val="24"/>
                <w:szCs w:val="24"/>
              </w:rPr>
            </w:pPr>
            <w:r w:rsidRPr="0007060A">
              <w:rPr>
                <w:rFonts w:ascii="Arial" w:hAnsi="Arial" w:cs="Arial"/>
                <w:b/>
                <w:bCs/>
                <w:sz w:val="24"/>
                <w:szCs w:val="24"/>
              </w:rPr>
              <w:t>Section</w:t>
            </w:r>
          </w:p>
        </w:tc>
        <w:tc>
          <w:tcPr>
            <w:tcW w:w="4428" w:type="dxa"/>
          </w:tcPr>
          <w:p w14:paraId="6FB73D78" w14:textId="0ED525B3" w:rsidR="00040EFE" w:rsidRPr="00040EFE" w:rsidRDefault="00040EFE" w:rsidP="00040EFE">
            <w:pPr>
              <w:jc w:val="center"/>
              <w:rPr>
                <w:b/>
                <w:bCs/>
                <w:sz w:val="28"/>
                <w:szCs w:val="28"/>
              </w:rPr>
            </w:pPr>
            <w:r w:rsidRPr="00040EFE">
              <w:rPr>
                <w:b/>
                <w:bCs/>
                <w:sz w:val="28"/>
                <w:szCs w:val="28"/>
              </w:rPr>
              <w:t>Comments/Recommendation</w:t>
            </w:r>
          </w:p>
        </w:tc>
        <w:tc>
          <w:tcPr>
            <w:tcW w:w="4278" w:type="dxa"/>
          </w:tcPr>
          <w:p w14:paraId="63BE17C2" w14:textId="0E45D225" w:rsidR="00040EFE" w:rsidRPr="00040EFE" w:rsidRDefault="00040EFE" w:rsidP="00040EFE">
            <w:pPr>
              <w:jc w:val="center"/>
              <w:rPr>
                <w:b/>
                <w:bCs/>
                <w:sz w:val="28"/>
                <w:szCs w:val="28"/>
              </w:rPr>
            </w:pPr>
            <w:r w:rsidRPr="00040EFE">
              <w:rPr>
                <w:b/>
                <w:bCs/>
                <w:sz w:val="28"/>
                <w:szCs w:val="28"/>
              </w:rPr>
              <w:t>Proposed/Suggested Revision</w:t>
            </w:r>
          </w:p>
        </w:tc>
      </w:tr>
      <w:tr w:rsidR="009D41CC" w14:paraId="6ED0F68A" w14:textId="77777777" w:rsidTr="004F73D6">
        <w:trPr>
          <w:trHeight w:val="263"/>
          <w:tblHeader/>
        </w:trPr>
        <w:tc>
          <w:tcPr>
            <w:tcW w:w="5597" w:type="dxa"/>
          </w:tcPr>
          <w:p w14:paraId="69E0EFEE" w14:textId="52B58787" w:rsidR="00014771" w:rsidRPr="007E2587" w:rsidRDefault="00014771" w:rsidP="00014771">
            <w:pPr>
              <w:jc w:val="center"/>
              <w:rPr>
                <w:rFonts w:ascii="Arial" w:hAnsi="Arial" w:cs="Arial"/>
                <w:b/>
                <w:bCs/>
              </w:rPr>
            </w:pPr>
            <w:r w:rsidRPr="007E2587">
              <w:rPr>
                <w:rFonts w:ascii="Arial" w:hAnsi="Arial" w:cs="Arial"/>
                <w:b/>
                <w:bCs/>
              </w:rPr>
              <w:t>DEPARTMENT CIRCULAR NO. DC2023-</w:t>
            </w:r>
          </w:p>
          <w:p w14:paraId="756173D8" w14:textId="77777777" w:rsidR="00014771" w:rsidRDefault="00014771" w:rsidP="00014771">
            <w:pPr>
              <w:jc w:val="center"/>
              <w:rPr>
                <w:rFonts w:ascii="Arial" w:hAnsi="Arial" w:cs="Arial"/>
              </w:rPr>
            </w:pPr>
          </w:p>
          <w:p w14:paraId="36A6255F" w14:textId="77777777" w:rsidR="00014771" w:rsidRPr="00A977F9" w:rsidRDefault="00014771" w:rsidP="00014771">
            <w:pPr>
              <w:pStyle w:val="NoSpacing"/>
              <w:jc w:val="center"/>
              <w:rPr>
                <w:rFonts w:ascii="Arial" w:hAnsi="Arial" w:cs="Arial"/>
                <w:b/>
                <w:bCs/>
                <w:sz w:val="22"/>
                <w:szCs w:val="22"/>
              </w:rPr>
            </w:pPr>
            <w:r w:rsidRPr="00A977F9">
              <w:rPr>
                <w:rFonts w:ascii="Arial" w:hAnsi="Arial" w:cs="Arial"/>
                <w:b/>
                <w:bCs/>
                <w:sz w:val="22"/>
                <w:szCs w:val="22"/>
              </w:rPr>
              <w:t>DECLAR</w:t>
            </w:r>
            <w:r>
              <w:rPr>
                <w:rFonts w:ascii="Arial" w:hAnsi="Arial" w:cs="Arial"/>
                <w:b/>
                <w:bCs/>
                <w:sz w:val="22"/>
                <w:szCs w:val="22"/>
              </w:rPr>
              <w:t>AT</w:t>
            </w:r>
            <w:r w:rsidRPr="00A977F9">
              <w:rPr>
                <w:rFonts w:ascii="Arial" w:hAnsi="Arial" w:cs="Arial"/>
                <w:b/>
                <w:bCs/>
                <w:sz w:val="22"/>
                <w:szCs w:val="22"/>
              </w:rPr>
              <w:t>ION OF THE FULL COMMERCIAL OPERATIONS</w:t>
            </w:r>
          </w:p>
          <w:p w14:paraId="2655553B" w14:textId="5F1C7AEB" w:rsidR="00014771" w:rsidRDefault="00014771" w:rsidP="003948D3">
            <w:pPr>
              <w:pStyle w:val="NoSpacing"/>
              <w:jc w:val="center"/>
              <w:rPr>
                <w:rFonts w:ascii="Arial" w:hAnsi="Arial" w:cs="Arial"/>
                <w:b/>
                <w:bCs/>
                <w:sz w:val="22"/>
                <w:szCs w:val="22"/>
              </w:rPr>
            </w:pPr>
            <w:r w:rsidRPr="00A977F9">
              <w:rPr>
                <w:rFonts w:ascii="Arial" w:hAnsi="Arial" w:cs="Arial"/>
                <w:b/>
                <w:bCs/>
                <w:sz w:val="22"/>
                <w:szCs w:val="22"/>
              </w:rPr>
              <w:t>OF THE RENEWABLE ENERGY MARKET</w:t>
            </w:r>
          </w:p>
          <w:p w14:paraId="05A1CDE1" w14:textId="77777777" w:rsidR="003948D3" w:rsidRPr="003948D3" w:rsidRDefault="003948D3" w:rsidP="003948D3">
            <w:pPr>
              <w:pStyle w:val="NoSpacing"/>
              <w:jc w:val="center"/>
              <w:rPr>
                <w:b/>
                <w:bCs/>
              </w:rPr>
            </w:pPr>
          </w:p>
          <w:p w14:paraId="5452A22C" w14:textId="77777777" w:rsidR="009D41CC" w:rsidRDefault="00014771" w:rsidP="00F324DA">
            <w:pPr>
              <w:jc w:val="both"/>
              <w:rPr>
                <w:rFonts w:ascii="Arial" w:hAnsi="Arial" w:cs="Arial"/>
                <w:color w:val="000000" w:themeColor="text1"/>
                <w:sz w:val="24"/>
                <w:szCs w:val="24"/>
              </w:rPr>
            </w:pPr>
            <w:r w:rsidRPr="00B65708">
              <w:rPr>
                <w:rFonts w:ascii="Arial" w:hAnsi="Arial" w:cs="Arial"/>
                <w:b/>
                <w:bCs/>
                <w:color w:val="000000" w:themeColor="text1"/>
                <w:sz w:val="24"/>
                <w:szCs w:val="24"/>
              </w:rPr>
              <w:t>WHEREAS,</w:t>
            </w:r>
            <w:r w:rsidRPr="00B65708">
              <w:rPr>
                <w:rFonts w:ascii="Arial" w:hAnsi="Arial" w:cs="Arial"/>
                <w:color w:val="000000" w:themeColor="text1"/>
                <w:sz w:val="24"/>
                <w:szCs w:val="24"/>
              </w:rPr>
              <w:t xml:space="preserve"> Section 8 of Republic Act (RA) No. 9513, or the “</w:t>
            </w:r>
            <w:r w:rsidRPr="00B65708">
              <w:rPr>
                <w:rFonts w:ascii="Arial" w:hAnsi="Arial" w:cs="Arial"/>
                <w:i/>
                <w:iCs/>
                <w:color w:val="000000" w:themeColor="text1"/>
                <w:sz w:val="24"/>
                <w:szCs w:val="24"/>
              </w:rPr>
              <w:t>Renewable Energy Act of 2008”</w:t>
            </w:r>
            <w:r w:rsidRPr="00B65708">
              <w:rPr>
                <w:rFonts w:ascii="Arial" w:hAnsi="Arial" w:cs="Arial"/>
                <w:color w:val="000000" w:themeColor="text1"/>
                <w:sz w:val="24"/>
                <w:szCs w:val="24"/>
              </w:rPr>
              <w:t xml:space="preserve"> (</w:t>
            </w:r>
            <w:r w:rsidRPr="00B65708">
              <w:rPr>
                <w:rFonts w:ascii="Arial" w:hAnsi="Arial" w:cs="Arial"/>
                <w:i/>
                <w:iCs/>
                <w:color w:val="000000" w:themeColor="text1"/>
                <w:sz w:val="24"/>
                <w:szCs w:val="24"/>
              </w:rPr>
              <w:t>RE Act</w:t>
            </w:r>
            <w:r w:rsidRPr="00B65708">
              <w:rPr>
                <w:rFonts w:ascii="Arial" w:hAnsi="Arial" w:cs="Arial"/>
                <w:color w:val="000000" w:themeColor="text1"/>
                <w:sz w:val="24"/>
                <w:szCs w:val="24"/>
              </w:rPr>
              <w:t xml:space="preserve">) and Section 10 of its Implementing Rules and Regulations (IRR) state that the DOE shall establish the Renewable Energy Market (REM) as a platform for the trading of RE Certificates (REC) in compliance with the Renewable Portfolio Standards (RPS) </w:t>
            </w:r>
            <w:proofErr w:type="gramStart"/>
            <w:r w:rsidRPr="00B65708">
              <w:rPr>
                <w:rFonts w:ascii="Arial" w:hAnsi="Arial" w:cs="Arial"/>
                <w:color w:val="000000" w:themeColor="text1"/>
                <w:sz w:val="24"/>
                <w:szCs w:val="24"/>
              </w:rPr>
              <w:t>Rules;</w:t>
            </w:r>
            <w:proofErr w:type="gramEnd"/>
          </w:p>
          <w:p w14:paraId="2EA7B8D4" w14:textId="27FF0773" w:rsidR="00014771" w:rsidRPr="00014771" w:rsidRDefault="00014771" w:rsidP="00F324DA">
            <w:pPr>
              <w:jc w:val="both"/>
              <w:rPr>
                <w:rFonts w:ascii="Arial" w:hAnsi="Arial" w:cs="Arial"/>
                <w:color w:val="000000" w:themeColor="text1"/>
                <w:sz w:val="24"/>
                <w:szCs w:val="24"/>
              </w:rPr>
            </w:pPr>
          </w:p>
        </w:tc>
        <w:tc>
          <w:tcPr>
            <w:tcW w:w="4428" w:type="dxa"/>
          </w:tcPr>
          <w:p w14:paraId="736A791A" w14:textId="77777777" w:rsidR="009D41CC" w:rsidRPr="00040EFE" w:rsidRDefault="009D41CC" w:rsidP="00040EFE">
            <w:pPr>
              <w:jc w:val="center"/>
              <w:rPr>
                <w:b/>
                <w:bCs/>
                <w:sz w:val="28"/>
                <w:szCs w:val="28"/>
              </w:rPr>
            </w:pPr>
          </w:p>
        </w:tc>
        <w:tc>
          <w:tcPr>
            <w:tcW w:w="4278" w:type="dxa"/>
          </w:tcPr>
          <w:p w14:paraId="56B4BD59" w14:textId="77777777" w:rsidR="009D41CC" w:rsidRPr="00040EFE" w:rsidRDefault="009D41CC" w:rsidP="00040EFE">
            <w:pPr>
              <w:jc w:val="center"/>
              <w:rPr>
                <w:b/>
                <w:bCs/>
                <w:sz w:val="28"/>
                <w:szCs w:val="28"/>
              </w:rPr>
            </w:pPr>
          </w:p>
        </w:tc>
      </w:tr>
      <w:tr w:rsidR="009E602F" w14:paraId="0E5A33FF" w14:textId="77777777" w:rsidTr="004F73D6">
        <w:trPr>
          <w:trHeight w:val="263"/>
          <w:tblHeader/>
        </w:trPr>
        <w:tc>
          <w:tcPr>
            <w:tcW w:w="5597" w:type="dxa"/>
          </w:tcPr>
          <w:p w14:paraId="22873E16" w14:textId="77777777" w:rsidR="00933B5E" w:rsidRPr="00B65708" w:rsidRDefault="00933B5E" w:rsidP="00933B5E">
            <w:pPr>
              <w:jc w:val="both"/>
              <w:rPr>
                <w:rFonts w:ascii="Arial" w:hAnsi="Arial" w:cs="Arial"/>
                <w:color w:val="000000" w:themeColor="text1"/>
                <w:sz w:val="24"/>
                <w:szCs w:val="24"/>
              </w:rPr>
            </w:pPr>
            <w:proofErr w:type="gramStart"/>
            <w:r w:rsidRPr="00B65708">
              <w:rPr>
                <w:rFonts w:ascii="Arial" w:hAnsi="Arial" w:cs="Arial"/>
                <w:b/>
                <w:bCs/>
                <w:color w:val="000000" w:themeColor="text1"/>
                <w:sz w:val="24"/>
                <w:szCs w:val="24"/>
              </w:rPr>
              <w:t>WHEREAS,</w:t>
            </w:r>
            <w:proofErr w:type="gramEnd"/>
            <w:r w:rsidRPr="00B65708">
              <w:rPr>
                <w:rFonts w:ascii="Arial" w:hAnsi="Arial" w:cs="Arial"/>
                <w:color w:val="000000" w:themeColor="text1"/>
                <w:sz w:val="24"/>
                <w:szCs w:val="24"/>
              </w:rPr>
              <w:t xml:space="preserve"> Section 8 of the RE Act and Section 11 of its IRR state that the Philippine Electricity Market Corporation (PEMC) shall, under the supervision of the DOE, establish and operate the Renewable Energy Registrar (RER) and shall issue, keep, and verify RECs corresponding to energy generated from RE facilities eligible for RPS compliance, which shall be used by Mandated Participants for compliance under the RPS Rules;</w:t>
            </w:r>
          </w:p>
          <w:p w14:paraId="4D491FC9" w14:textId="01D8DD07" w:rsidR="009E602F" w:rsidRPr="00B91789" w:rsidRDefault="009E602F" w:rsidP="001D6FBF">
            <w:pPr>
              <w:jc w:val="both"/>
              <w:rPr>
                <w:rFonts w:ascii="Arial" w:hAnsi="Arial" w:cs="Arial"/>
                <w:sz w:val="24"/>
                <w:szCs w:val="24"/>
              </w:rPr>
            </w:pPr>
          </w:p>
        </w:tc>
        <w:tc>
          <w:tcPr>
            <w:tcW w:w="4428" w:type="dxa"/>
          </w:tcPr>
          <w:p w14:paraId="09552FF3" w14:textId="77777777" w:rsidR="009E602F" w:rsidRPr="00040EFE" w:rsidRDefault="009E602F" w:rsidP="00040EFE">
            <w:pPr>
              <w:jc w:val="center"/>
              <w:rPr>
                <w:b/>
                <w:bCs/>
                <w:sz w:val="28"/>
                <w:szCs w:val="28"/>
              </w:rPr>
            </w:pPr>
          </w:p>
        </w:tc>
        <w:tc>
          <w:tcPr>
            <w:tcW w:w="4278" w:type="dxa"/>
          </w:tcPr>
          <w:p w14:paraId="241D2D29" w14:textId="77777777" w:rsidR="009E602F" w:rsidRPr="00040EFE" w:rsidRDefault="009E602F" w:rsidP="00040EFE">
            <w:pPr>
              <w:jc w:val="center"/>
              <w:rPr>
                <w:b/>
                <w:bCs/>
                <w:sz w:val="28"/>
                <w:szCs w:val="28"/>
              </w:rPr>
            </w:pPr>
          </w:p>
        </w:tc>
      </w:tr>
      <w:tr w:rsidR="00E85B0B" w14:paraId="62888F61" w14:textId="77777777" w:rsidTr="004F73D6">
        <w:trPr>
          <w:trHeight w:val="263"/>
          <w:tblHeader/>
        </w:trPr>
        <w:tc>
          <w:tcPr>
            <w:tcW w:w="5597" w:type="dxa"/>
          </w:tcPr>
          <w:p w14:paraId="2DC47B7C" w14:textId="77777777" w:rsidR="00E85B0B" w:rsidRDefault="003948D3" w:rsidP="00B44AAF">
            <w:pPr>
              <w:jc w:val="both"/>
              <w:rPr>
                <w:rFonts w:ascii="Arial" w:hAnsi="Arial" w:cs="Arial"/>
                <w:color w:val="000000" w:themeColor="text1"/>
                <w:sz w:val="24"/>
                <w:szCs w:val="24"/>
              </w:rPr>
            </w:pPr>
            <w:proofErr w:type="gramStart"/>
            <w:r w:rsidRPr="00B65708">
              <w:rPr>
                <w:rFonts w:ascii="Arial" w:hAnsi="Arial" w:cs="Arial"/>
                <w:b/>
                <w:bCs/>
                <w:color w:val="000000" w:themeColor="text1"/>
                <w:sz w:val="24"/>
                <w:szCs w:val="24"/>
              </w:rPr>
              <w:t>WHEREAS,</w:t>
            </w:r>
            <w:proofErr w:type="gramEnd"/>
            <w:r w:rsidRPr="00B65708">
              <w:rPr>
                <w:rFonts w:ascii="Arial" w:hAnsi="Arial" w:cs="Arial"/>
                <w:color w:val="000000" w:themeColor="text1"/>
                <w:sz w:val="24"/>
                <w:szCs w:val="24"/>
              </w:rPr>
              <w:t xml:space="preserve"> the DOE issued Department Circulars (DC) Nos. DC2017-12-0015 and DC No. DC2018-08-0024, promulgating the rules and guidelines governing the establishment of the </w:t>
            </w:r>
            <w:r w:rsidRPr="00B65708">
              <w:rPr>
                <w:rFonts w:ascii="Arial" w:hAnsi="Arial" w:cs="Arial"/>
                <w:i/>
                <w:iCs/>
                <w:color w:val="000000" w:themeColor="text1"/>
                <w:sz w:val="24"/>
                <w:szCs w:val="24"/>
              </w:rPr>
              <w:t>“RPS Rules for On-Grid Areas”</w:t>
            </w:r>
            <w:r w:rsidRPr="00B65708">
              <w:rPr>
                <w:rFonts w:ascii="Arial" w:hAnsi="Arial" w:cs="Arial"/>
                <w:color w:val="000000" w:themeColor="text1"/>
                <w:sz w:val="24"/>
                <w:szCs w:val="24"/>
              </w:rPr>
              <w:t xml:space="preserve"> or the </w:t>
            </w:r>
            <w:r w:rsidRPr="00B65708">
              <w:rPr>
                <w:rFonts w:ascii="Arial" w:hAnsi="Arial" w:cs="Arial"/>
                <w:i/>
                <w:iCs/>
                <w:color w:val="000000" w:themeColor="text1"/>
                <w:sz w:val="24"/>
                <w:szCs w:val="24"/>
              </w:rPr>
              <w:t>“</w:t>
            </w:r>
            <w:bookmarkStart w:id="0" w:name="_Hlk136935466"/>
            <w:r w:rsidRPr="00B65708">
              <w:rPr>
                <w:rFonts w:ascii="Arial" w:hAnsi="Arial" w:cs="Arial"/>
                <w:i/>
                <w:iCs/>
                <w:color w:val="000000" w:themeColor="text1"/>
                <w:sz w:val="24"/>
                <w:szCs w:val="24"/>
              </w:rPr>
              <w:t>RPS On-Grid Rules</w:t>
            </w:r>
            <w:bookmarkEnd w:id="0"/>
            <w:r w:rsidRPr="00B65708">
              <w:rPr>
                <w:rFonts w:ascii="Arial" w:hAnsi="Arial" w:cs="Arial"/>
                <w:i/>
                <w:iCs/>
                <w:color w:val="000000" w:themeColor="text1"/>
                <w:sz w:val="24"/>
                <w:szCs w:val="24"/>
              </w:rPr>
              <w:t>”</w:t>
            </w:r>
            <w:r w:rsidRPr="00B65708">
              <w:rPr>
                <w:rFonts w:ascii="Arial" w:hAnsi="Arial" w:cs="Arial"/>
                <w:color w:val="000000" w:themeColor="text1"/>
                <w:sz w:val="24"/>
                <w:szCs w:val="24"/>
              </w:rPr>
              <w:t xml:space="preserve"> and the </w:t>
            </w:r>
            <w:r w:rsidRPr="00B65708">
              <w:rPr>
                <w:rFonts w:ascii="Arial" w:hAnsi="Arial" w:cs="Arial"/>
                <w:i/>
                <w:iCs/>
                <w:color w:val="000000" w:themeColor="text1"/>
                <w:sz w:val="24"/>
                <w:szCs w:val="24"/>
              </w:rPr>
              <w:t>“RPS Rules for Off-Grid Areas”</w:t>
            </w:r>
            <w:r w:rsidRPr="00B65708">
              <w:rPr>
                <w:rFonts w:ascii="Arial" w:hAnsi="Arial" w:cs="Arial"/>
                <w:color w:val="000000" w:themeColor="text1"/>
                <w:sz w:val="24"/>
                <w:szCs w:val="24"/>
              </w:rPr>
              <w:t xml:space="preserve"> or the </w:t>
            </w:r>
            <w:r w:rsidRPr="00B65708">
              <w:rPr>
                <w:rFonts w:ascii="Arial" w:hAnsi="Arial" w:cs="Arial"/>
                <w:i/>
                <w:iCs/>
                <w:color w:val="000000" w:themeColor="text1"/>
                <w:sz w:val="24"/>
                <w:szCs w:val="24"/>
              </w:rPr>
              <w:t>“RPS Off-Grid Rules”</w:t>
            </w:r>
            <w:r w:rsidRPr="00B65708">
              <w:rPr>
                <w:rFonts w:ascii="Arial" w:hAnsi="Arial" w:cs="Arial"/>
                <w:color w:val="000000" w:themeColor="text1"/>
                <w:sz w:val="24"/>
                <w:szCs w:val="24"/>
              </w:rPr>
              <w:t>, respectively;</w:t>
            </w:r>
          </w:p>
          <w:p w14:paraId="61E1EC11" w14:textId="77777777" w:rsidR="00674CD3" w:rsidRDefault="00674CD3" w:rsidP="00B44AAF">
            <w:pPr>
              <w:jc w:val="both"/>
              <w:rPr>
                <w:rFonts w:ascii="Arial" w:hAnsi="Arial" w:cs="Arial"/>
                <w:color w:val="000000" w:themeColor="text1"/>
                <w:sz w:val="24"/>
                <w:szCs w:val="24"/>
              </w:rPr>
            </w:pPr>
          </w:p>
          <w:p w14:paraId="5ABD15DF" w14:textId="5919D885" w:rsidR="00674CD3" w:rsidRPr="003948D3" w:rsidRDefault="00674CD3" w:rsidP="00B44AAF">
            <w:pPr>
              <w:jc w:val="both"/>
              <w:rPr>
                <w:rFonts w:ascii="Arial" w:hAnsi="Arial" w:cs="Arial"/>
                <w:b/>
                <w:bCs/>
                <w:color w:val="000000" w:themeColor="text1"/>
                <w:sz w:val="24"/>
                <w:szCs w:val="24"/>
              </w:rPr>
            </w:pPr>
          </w:p>
        </w:tc>
        <w:tc>
          <w:tcPr>
            <w:tcW w:w="4428" w:type="dxa"/>
          </w:tcPr>
          <w:p w14:paraId="22FD0267" w14:textId="77777777" w:rsidR="00E85B0B" w:rsidRPr="00040EFE" w:rsidRDefault="00E85B0B" w:rsidP="00040EFE">
            <w:pPr>
              <w:jc w:val="center"/>
              <w:rPr>
                <w:b/>
                <w:bCs/>
                <w:sz w:val="28"/>
                <w:szCs w:val="28"/>
              </w:rPr>
            </w:pPr>
          </w:p>
        </w:tc>
        <w:tc>
          <w:tcPr>
            <w:tcW w:w="4278" w:type="dxa"/>
          </w:tcPr>
          <w:p w14:paraId="5F51DC98" w14:textId="77777777" w:rsidR="00E85B0B" w:rsidRPr="00040EFE" w:rsidRDefault="00E85B0B" w:rsidP="00040EFE">
            <w:pPr>
              <w:jc w:val="center"/>
              <w:rPr>
                <w:b/>
                <w:bCs/>
                <w:sz w:val="28"/>
                <w:szCs w:val="28"/>
              </w:rPr>
            </w:pPr>
          </w:p>
        </w:tc>
      </w:tr>
      <w:tr w:rsidR="00B44AAF" w14:paraId="30642396" w14:textId="77777777" w:rsidTr="004F73D6">
        <w:trPr>
          <w:trHeight w:val="263"/>
          <w:tblHeader/>
        </w:trPr>
        <w:tc>
          <w:tcPr>
            <w:tcW w:w="5597" w:type="dxa"/>
          </w:tcPr>
          <w:p w14:paraId="0363857A" w14:textId="77777777" w:rsidR="00E52E07" w:rsidRPr="00B65708" w:rsidRDefault="00E52E07" w:rsidP="00E52E07">
            <w:pPr>
              <w:jc w:val="both"/>
              <w:rPr>
                <w:rFonts w:ascii="Arial" w:hAnsi="Arial" w:cs="Arial"/>
                <w:color w:val="000000" w:themeColor="text1"/>
                <w:sz w:val="24"/>
                <w:szCs w:val="24"/>
              </w:rPr>
            </w:pPr>
            <w:proofErr w:type="gramStart"/>
            <w:r w:rsidRPr="00B65708">
              <w:rPr>
                <w:rFonts w:ascii="Arial" w:hAnsi="Arial" w:cs="Arial"/>
                <w:b/>
                <w:bCs/>
                <w:color w:val="000000" w:themeColor="text1"/>
                <w:sz w:val="24"/>
                <w:szCs w:val="24"/>
              </w:rPr>
              <w:lastRenderedPageBreak/>
              <w:t>WHEREAS,</w:t>
            </w:r>
            <w:proofErr w:type="gramEnd"/>
            <w:r w:rsidRPr="00B65708">
              <w:rPr>
                <w:rFonts w:ascii="Arial" w:hAnsi="Arial" w:cs="Arial"/>
                <w:color w:val="000000" w:themeColor="text1"/>
                <w:sz w:val="24"/>
                <w:szCs w:val="24"/>
              </w:rPr>
              <w:t xml:space="preserve"> the DOE issued DC No. DC2019-12-0016 titled, </w:t>
            </w:r>
            <w:r w:rsidRPr="00B65708">
              <w:rPr>
                <w:rFonts w:ascii="Arial" w:hAnsi="Arial" w:cs="Arial"/>
                <w:b/>
                <w:bCs/>
                <w:color w:val="000000" w:themeColor="text1"/>
                <w:sz w:val="24"/>
                <w:szCs w:val="24"/>
              </w:rPr>
              <w:t>“</w:t>
            </w:r>
            <w:r w:rsidRPr="00B65708">
              <w:rPr>
                <w:rFonts w:ascii="Arial" w:hAnsi="Arial" w:cs="Arial"/>
                <w:color w:val="000000" w:themeColor="text1"/>
                <w:sz w:val="24"/>
                <w:szCs w:val="24"/>
              </w:rPr>
              <w:t>Promulgating The Renewable Energy Market Rules</w:t>
            </w:r>
            <w:r w:rsidRPr="00B65708">
              <w:rPr>
                <w:rFonts w:ascii="Arial" w:hAnsi="Arial" w:cs="Arial"/>
                <w:b/>
                <w:bCs/>
                <w:color w:val="000000" w:themeColor="text1"/>
                <w:sz w:val="24"/>
                <w:szCs w:val="24"/>
              </w:rPr>
              <w:t>”</w:t>
            </w:r>
            <w:r w:rsidRPr="00B65708">
              <w:rPr>
                <w:rFonts w:ascii="Arial" w:hAnsi="Arial" w:cs="Arial"/>
                <w:color w:val="000000" w:themeColor="text1"/>
                <w:sz w:val="24"/>
                <w:szCs w:val="24"/>
              </w:rPr>
              <w:t>, (REM</w:t>
            </w:r>
            <w:r w:rsidRPr="00B65708">
              <w:rPr>
                <w:rFonts w:ascii="Arial" w:hAnsi="Arial" w:cs="Arial"/>
                <w:i/>
                <w:iCs/>
                <w:color w:val="000000" w:themeColor="text1"/>
                <w:sz w:val="24"/>
                <w:szCs w:val="24"/>
              </w:rPr>
              <w:t xml:space="preserve"> </w:t>
            </w:r>
            <w:r w:rsidRPr="00B65708">
              <w:rPr>
                <w:rFonts w:ascii="Arial" w:hAnsi="Arial" w:cs="Arial"/>
                <w:color w:val="000000" w:themeColor="text1"/>
                <w:sz w:val="24"/>
                <w:szCs w:val="24"/>
              </w:rPr>
              <w:t>Rules) to establish the rules, requirements and procedures that govern the operation of the REM for all electric power industry participants in Luzon, Visayas, and Mindanao, both in the on-grid and off-grid areas;</w:t>
            </w:r>
          </w:p>
          <w:p w14:paraId="245072A2" w14:textId="6AF516BF" w:rsidR="00B44AAF" w:rsidRPr="00B91789" w:rsidRDefault="00B44AAF" w:rsidP="00B44AAF">
            <w:pPr>
              <w:jc w:val="both"/>
              <w:rPr>
                <w:rFonts w:ascii="Arial" w:hAnsi="Arial" w:cs="Arial"/>
                <w:sz w:val="24"/>
                <w:szCs w:val="24"/>
              </w:rPr>
            </w:pPr>
          </w:p>
        </w:tc>
        <w:tc>
          <w:tcPr>
            <w:tcW w:w="4428" w:type="dxa"/>
          </w:tcPr>
          <w:p w14:paraId="3D4A7184" w14:textId="77777777" w:rsidR="00B44AAF" w:rsidRPr="00040EFE" w:rsidRDefault="00B44AAF" w:rsidP="00040EFE">
            <w:pPr>
              <w:jc w:val="center"/>
              <w:rPr>
                <w:b/>
                <w:bCs/>
                <w:sz w:val="28"/>
                <w:szCs w:val="28"/>
              </w:rPr>
            </w:pPr>
          </w:p>
        </w:tc>
        <w:tc>
          <w:tcPr>
            <w:tcW w:w="4278" w:type="dxa"/>
          </w:tcPr>
          <w:p w14:paraId="6BF1A56C" w14:textId="77777777" w:rsidR="00B44AAF" w:rsidRPr="00040EFE" w:rsidRDefault="00B44AAF" w:rsidP="00040EFE">
            <w:pPr>
              <w:jc w:val="center"/>
              <w:rPr>
                <w:b/>
                <w:bCs/>
                <w:sz w:val="28"/>
                <w:szCs w:val="28"/>
              </w:rPr>
            </w:pPr>
          </w:p>
        </w:tc>
      </w:tr>
      <w:tr w:rsidR="00D810DB" w14:paraId="0EE55EC5" w14:textId="77777777" w:rsidTr="004F73D6">
        <w:trPr>
          <w:trHeight w:val="263"/>
          <w:tblHeader/>
        </w:trPr>
        <w:tc>
          <w:tcPr>
            <w:tcW w:w="5597" w:type="dxa"/>
          </w:tcPr>
          <w:p w14:paraId="0DB31BC4" w14:textId="77777777" w:rsidR="00B85D13" w:rsidRPr="00B65708" w:rsidRDefault="00B85D13" w:rsidP="00B85D13">
            <w:pPr>
              <w:jc w:val="both"/>
              <w:rPr>
                <w:rFonts w:ascii="Arial" w:hAnsi="Arial" w:cs="Arial"/>
                <w:color w:val="000000" w:themeColor="text1"/>
                <w:sz w:val="24"/>
                <w:szCs w:val="24"/>
              </w:rPr>
            </w:pPr>
            <w:r w:rsidRPr="00B65708">
              <w:rPr>
                <w:rFonts w:ascii="Arial" w:hAnsi="Arial" w:cs="Arial"/>
                <w:b/>
                <w:bCs/>
                <w:color w:val="000000" w:themeColor="text1"/>
                <w:sz w:val="24"/>
                <w:szCs w:val="24"/>
              </w:rPr>
              <w:t>WHEREAS,</w:t>
            </w:r>
            <w:r w:rsidRPr="00B65708">
              <w:rPr>
                <w:rFonts w:ascii="Arial" w:hAnsi="Arial" w:cs="Arial"/>
                <w:color w:val="000000" w:themeColor="text1"/>
                <w:sz w:val="24"/>
                <w:szCs w:val="24"/>
              </w:rPr>
              <w:t xml:space="preserve"> Section 2 of the REM Rules prescribes that the PEMC for the establishment of the REM and the development of the Philippine Renewable Energy Market System (PREMS) shall perform the RER functions: </w:t>
            </w:r>
            <w:r w:rsidRPr="00B65708">
              <w:rPr>
                <w:rFonts w:ascii="Arial" w:hAnsi="Arial" w:cs="Arial"/>
                <w:i/>
                <w:iCs/>
                <w:color w:val="000000" w:themeColor="text1"/>
                <w:sz w:val="24"/>
                <w:szCs w:val="24"/>
              </w:rPr>
              <w:t>Provided</w:t>
            </w:r>
            <w:r w:rsidRPr="00B65708">
              <w:rPr>
                <w:rFonts w:ascii="Arial" w:hAnsi="Arial" w:cs="Arial"/>
                <w:color w:val="000000" w:themeColor="text1"/>
                <w:sz w:val="24"/>
                <w:szCs w:val="24"/>
              </w:rPr>
              <w:t>, That no later than one (1) year from the start of commercial operations of the REM, the functions, assets and liabilities of PEMC in performing the RER functions shall be transferred to the entity performing market operations;</w:t>
            </w:r>
          </w:p>
          <w:p w14:paraId="3E46C306" w14:textId="57769618" w:rsidR="00D810DB" w:rsidRPr="00B91789" w:rsidRDefault="00D810DB" w:rsidP="00B44AAF">
            <w:pPr>
              <w:jc w:val="both"/>
              <w:rPr>
                <w:rFonts w:ascii="Arial" w:hAnsi="Arial" w:cs="Arial"/>
                <w:sz w:val="24"/>
                <w:szCs w:val="24"/>
              </w:rPr>
            </w:pPr>
          </w:p>
        </w:tc>
        <w:tc>
          <w:tcPr>
            <w:tcW w:w="4428" w:type="dxa"/>
          </w:tcPr>
          <w:p w14:paraId="3BB495AC" w14:textId="77777777" w:rsidR="00D810DB" w:rsidRPr="00040EFE" w:rsidRDefault="00D810DB" w:rsidP="00040EFE">
            <w:pPr>
              <w:jc w:val="center"/>
              <w:rPr>
                <w:b/>
                <w:bCs/>
                <w:sz w:val="28"/>
                <w:szCs w:val="28"/>
              </w:rPr>
            </w:pPr>
          </w:p>
        </w:tc>
        <w:tc>
          <w:tcPr>
            <w:tcW w:w="4278" w:type="dxa"/>
          </w:tcPr>
          <w:p w14:paraId="19DEAED2" w14:textId="77777777" w:rsidR="00D810DB" w:rsidRPr="00040EFE" w:rsidRDefault="00D810DB" w:rsidP="00040EFE">
            <w:pPr>
              <w:jc w:val="center"/>
              <w:rPr>
                <w:b/>
                <w:bCs/>
                <w:sz w:val="28"/>
                <w:szCs w:val="28"/>
              </w:rPr>
            </w:pPr>
          </w:p>
        </w:tc>
      </w:tr>
      <w:tr w:rsidR="004D3DB6" w14:paraId="413F54B2" w14:textId="77777777" w:rsidTr="004F73D6">
        <w:trPr>
          <w:trHeight w:val="263"/>
          <w:tblHeader/>
        </w:trPr>
        <w:tc>
          <w:tcPr>
            <w:tcW w:w="5597" w:type="dxa"/>
          </w:tcPr>
          <w:p w14:paraId="12C9A294" w14:textId="77777777" w:rsidR="00B03885" w:rsidRPr="00B65708" w:rsidRDefault="00B03885" w:rsidP="00B03885">
            <w:pPr>
              <w:jc w:val="both"/>
              <w:rPr>
                <w:rFonts w:ascii="Arial" w:hAnsi="Arial" w:cs="Arial"/>
                <w:color w:val="000000" w:themeColor="text1"/>
                <w:sz w:val="24"/>
                <w:szCs w:val="24"/>
              </w:rPr>
            </w:pPr>
            <w:proofErr w:type="gramStart"/>
            <w:r w:rsidRPr="00B65708">
              <w:rPr>
                <w:rFonts w:ascii="Arial" w:hAnsi="Arial" w:cs="Arial"/>
                <w:b/>
                <w:bCs/>
                <w:color w:val="000000" w:themeColor="text1"/>
                <w:sz w:val="24"/>
                <w:szCs w:val="24"/>
              </w:rPr>
              <w:t>WHEREAS,</w:t>
            </w:r>
            <w:proofErr w:type="gramEnd"/>
            <w:r w:rsidRPr="00B65708">
              <w:rPr>
                <w:rFonts w:ascii="Arial" w:hAnsi="Arial" w:cs="Arial"/>
                <w:color w:val="000000" w:themeColor="text1"/>
                <w:sz w:val="24"/>
                <w:szCs w:val="24"/>
              </w:rPr>
              <w:t xml:space="preserve"> Section 5(a) of the REM Rules directs PEMC to submit for approval of the DOE, the following: proposed Readiness Criteria consisting of the activities and scenarios necessary to enable the effective implementation of the REM; and a Certification on the level of compliance of all REM Participants and Mandated Participants in the Readiness Criteria for the commencement/operationalization of the</w:t>
            </w:r>
          </w:p>
          <w:p w14:paraId="5C6EB339" w14:textId="77777777" w:rsidR="00B03885" w:rsidRPr="00B65708" w:rsidRDefault="00B03885" w:rsidP="00B03885">
            <w:pPr>
              <w:jc w:val="both"/>
              <w:rPr>
                <w:rFonts w:ascii="Arial" w:hAnsi="Arial" w:cs="Arial"/>
                <w:color w:val="000000" w:themeColor="text1"/>
                <w:sz w:val="24"/>
                <w:szCs w:val="24"/>
              </w:rPr>
            </w:pPr>
            <w:r w:rsidRPr="00B65708">
              <w:rPr>
                <w:rFonts w:ascii="Arial" w:hAnsi="Arial" w:cs="Arial"/>
                <w:color w:val="000000" w:themeColor="text1"/>
                <w:sz w:val="24"/>
                <w:szCs w:val="24"/>
              </w:rPr>
              <w:t xml:space="preserve">REM, including a recommendation as to whether or not the Readiness Criteria have been </w:t>
            </w:r>
            <w:proofErr w:type="gramStart"/>
            <w:r w:rsidRPr="00B65708">
              <w:rPr>
                <w:rFonts w:ascii="Arial" w:hAnsi="Arial" w:cs="Arial"/>
                <w:color w:val="000000" w:themeColor="text1"/>
                <w:sz w:val="24"/>
                <w:szCs w:val="24"/>
              </w:rPr>
              <w:t>met;</w:t>
            </w:r>
            <w:proofErr w:type="gramEnd"/>
            <w:r w:rsidRPr="00B65708">
              <w:rPr>
                <w:rFonts w:ascii="Arial" w:hAnsi="Arial" w:cs="Arial"/>
                <w:color w:val="000000" w:themeColor="text1"/>
                <w:sz w:val="24"/>
                <w:szCs w:val="24"/>
              </w:rPr>
              <w:t xml:space="preserve">  </w:t>
            </w:r>
          </w:p>
          <w:p w14:paraId="60FFB3B4" w14:textId="3CAD98F0" w:rsidR="004A4527" w:rsidRPr="00B91789" w:rsidRDefault="004A4527" w:rsidP="004A4527">
            <w:pPr>
              <w:ind w:right="227"/>
              <w:jc w:val="both"/>
              <w:rPr>
                <w:rFonts w:ascii="Arial" w:hAnsi="Arial" w:cs="Arial"/>
                <w:b/>
                <w:bCs/>
                <w:sz w:val="23"/>
                <w:szCs w:val="23"/>
              </w:rPr>
            </w:pPr>
          </w:p>
        </w:tc>
        <w:tc>
          <w:tcPr>
            <w:tcW w:w="4428" w:type="dxa"/>
          </w:tcPr>
          <w:p w14:paraId="4C9DF3EE" w14:textId="77777777" w:rsidR="004D3DB6" w:rsidRPr="00040EFE" w:rsidRDefault="004D3DB6" w:rsidP="00040EFE">
            <w:pPr>
              <w:jc w:val="center"/>
              <w:rPr>
                <w:b/>
                <w:bCs/>
                <w:sz w:val="28"/>
                <w:szCs w:val="28"/>
              </w:rPr>
            </w:pPr>
          </w:p>
        </w:tc>
        <w:tc>
          <w:tcPr>
            <w:tcW w:w="4278" w:type="dxa"/>
          </w:tcPr>
          <w:p w14:paraId="62A3CEBF" w14:textId="77777777" w:rsidR="004D3DB6" w:rsidRPr="00040EFE" w:rsidRDefault="004D3DB6" w:rsidP="00040EFE">
            <w:pPr>
              <w:jc w:val="center"/>
              <w:rPr>
                <w:b/>
                <w:bCs/>
                <w:sz w:val="28"/>
                <w:szCs w:val="28"/>
              </w:rPr>
            </w:pPr>
          </w:p>
        </w:tc>
      </w:tr>
      <w:tr w:rsidR="00962BD0" w14:paraId="0CC7EB7D" w14:textId="77777777" w:rsidTr="004F73D6">
        <w:trPr>
          <w:trHeight w:val="263"/>
          <w:tblHeader/>
        </w:trPr>
        <w:tc>
          <w:tcPr>
            <w:tcW w:w="5597" w:type="dxa"/>
          </w:tcPr>
          <w:p w14:paraId="64D50A54" w14:textId="77777777" w:rsidR="004A4527" w:rsidRPr="00B65708" w:rsidRDefault="004A4527" w:rsidP="004A4527">
            <w:pPr>
              <w:jc w:val="both"/>
              <w:rPr>
                <w:rFonts w:ascii="Arial" w:hAnsi="Arial" w:cs="Arial"/>
                <w:color w:val="000000" w:themeColor="text1"/>
                <w:sz w:val="24"/>
                <w:szCs w:val="24"/>
              </w:rPr>
            </w:pPr>
            <w:proofErr w:type="gramStart"/>
            <w:r w:rsidRPr="00B65708">
              <w:rPr>
                <w:rFonts w:ascii="Arial" w:hAnsi="Arial" w:cs="Arial"/>
                <w:b/>
                <w:bCs/>
                <w:color w:val="000000" w:themeColor="text1"/>
                <w:sz w:val="24"/>
                <w:szCs w:val="24"/>
              </w:rPr>
              <w:t>WHEREAS,</w:t>
            </w:r>
            <w:proofErr w:type="gramEnd"/>
            <w:r w:rsidRPr="00B65708">
              <w:rPr>
                <w:rFonts w:ascii="Arial" w:hAnsi="Arial" w:cs="Arial"/>
                <w:color w:val="000000" w:themeColor="text1"/>
                <w:sz w:val="24"/>
                <w:szCs w:val="24"/>
              </w:rPr>
              <w:t xml:space="preserve"> Section 5(a) of the REM Rules further provides that REM shall start its commercial operations upon the Department’s validation and verification of PEMC’s certification and recommendation as to whether or not the activities identified in the Readiness Criteria have been completed;</w:t>
            </w:r>
          </w:p>
          <w:p w14:paraId="7C7EA547" w14:textId="14B7C548" w:rsidR="00B91789" w:rsidRPr="004A4527" w:rsidRDefault="00B91789" w:rsidP="00B42141">
            <w:pPr>
              <w:pStyle w:val="p2"/>
              <w:tabs>
                <w:tab w:val="left" w:pos="284"/>
                <w:tab w:val="left" w:pos="567"/>
                <w:tab w:val="left" w:pos="851"/>
                <w:tab w:val="left" w:pos="1134"/>
              </w:tabs>
              <w:jc w:val="both"/>
              <w:rPr>
                <w:rFonts w:ascii="Arial" w:eastAsia="Book Antiqua" w:hAnsi="Arial" w:cs="Arial"/>
                <w:sz w:val="23"/>
                <w:szCs w:val="23"/>
                <w:lang w:val="en-PH"/>
              </w:rPr>
            </w:pPr>
          </w:p>
        </w:tc>
        <w:tc>
          <w:tcPr>
            <w:tcW w:w="4428" w:type="dxa"/>
          </w:tcPr>
          <w:p w14:paraId="21979C44" w14:textId="77777777" w:rsidR="00962BD0" w:rsidRPr="00040EFE" w:rsidRDefault="00962BD0" w:rsidP="00040EFE">
            <w:pPr>
              <w:jc w:val="center"/>
              <w:rPr>
                <w:b/>
                <w:bCs/>
                <w:sz w:val="28"/>
                <w:szCs w:val="28"/>
              </w:rPr>
            </w:pPr>
          </w:p>
        </w:tc>
        <w:tc>
          <w:tcPr>
            <w:tcW w:w="4278" w:type="dxa"/>
          </w:tcPr>
          <w:p w14:paraId="50529FC3" w14:textId="77777777" w:rsidR="00962BD0" w:rsidRPr="00040EFE" w:rsidRDefault="00962BD0" w:rsidP="00040EFE">
            <w:pPr>
              <w:jc w:val="center"/>
              <w:rPr>
                <w:b/>
                <w:bCs/>
                <w:sz w:val="28"/>
                <w:szCs w:val="28"/>
              </w:rPr>
            </w:pPr>
          </w:p>
        </w:tc>
      </w:tr>
      <w:tr w:rsidR="00B42141" w14:paraId="1F6FFAAD" w14:textId="77777777" w:rsidTr="004F73D6">
        <w:trPr>
          <w:trHeight w:val="263"/>
          <w:tblHeader/>
        </w:trPr>
        <w:tc>
          <w:tcPr>
            <w:tcW w:w="5597" w:type="dxa"/>
          </w:tcPr>
          <w:p w14:paraId="2E48F063" w14:textId="77777777" w:rsidR="00093446" w:rsidRPr="00B65708" w:rsidRDefault="00093446" w:rsidP="00093446">
            <w:pPr>
              <w:jc w:val="both"/>
              <w:rPr>
                <w:rFonts w:ascii="Arial" w:hAnsi="Arial" w:cs="Arial"/>
                <w:color w:val="000000" w:themeColor="text1"/>
                <w:sz w:val="24"/>
                <w:szCs w:val="24"/>
              </w:rPr>
            </w:pPr>
            <w:r w:rsidRPr="00B65708">
              <w:rPr>
                <w:rFonts w:ascii="Arial" w:hAnsi="Arial" w:cs="Arial"/>
                <w:b/>
                <w:bCs/>
                <w:color w:val="000000" w:themeColor="text1"/>
                <w:sz w:val="24"/>
                <w:szCs w:val="24"/>
              </w:rPr>
              <w:t>WHEREAS,</w:t>
            </w:r>
            <w:r w:rsidRPr="00B65708">
              <w:rPr>
                <w:rFonts w:ascii="Arial" w:hAnsi="Arial" w:cs="Arial"/>
                <w:color w:val="000000" w:themeColor="text1"/>
                <w:sz w:val="24"/>
                <w:szCs w:val="24"/>
              </w:rPr>
              <w:t xml:space="preserve"> pursuant to Section 5 of the REM Rules, the DOE approved PEMC’s proposed REM Readiness Criteria—which include, among others, the arrangements for the transfer and use of the PREMS assets, establishment of the REC price cap, and determination of REM transaction fees—to ensure that the RER, REM Participants, and concerned government agencies, offices and other entities are duly guided in fulfilling their respective responsibilities as indicated in the REM Readiness Criteria which are prerequisites to the full commercial operations of the REM;</w:t>
            </w:r>
          </w:p>
          <w:p w14:paraId="644054D1" w14:textId="644F236D" w:rsidR="00B91789" w:rsidRPr="00B91789" w:rsidRDefault="00B91789" w:rsidP="00E34039">
            <w:pPr>
              <w:jc w:val="both"/>
              <w:rPr>
                <w:rFonts w:ascii="Arial" w:hAnsi="Arial" w:cs="Arial"/>
                <w:sz w:val="23"/>
                <w:szCs w:val="23"/>
              </w:rPr>
            </w:pPr>
          </w:p>
        </w:tc>
        <w:tc>
          <w:tcPr>
            <w:tcW w:w="4428" w:type="dxa"/>
          </w:tcPr>
          <w:p w14:paraId="1302D169" w14:textId="77777777" w:rsidR="00B42141" w:rsidRPr="00040EFE" w:rsidRDefault="00B42141" w:rsidP="00040EFE">
            <w:pPr>
              <w:jc w:val="center"/>
              <w:rPr>
                <w:b/>
                <w:bCs/>
                <w:sz w:val="28"/>
                <w:szCs w:val="28"/>
              </w:rPr>
            </w:pPr>
          </w:p>
        </w:tc>
        <w:tc>
          <w:tcPr>
            <w:tcW w:w="4278" w:type="dxa"/>
          </w:tcPr>
          <w:p w14:paraId="6E2869CE" w14:textId="77777777" w:rsidR="00B42141" w:rsidRPr="00040EFE" w:rsidRDefault="00B42141" w:rsidP="00040EFE">
            <w:pPr>
              <w:jc w:val="center"/>
              <w:rPr>
                <w:b/>
                <w:bCs/>
                <w:sz w:val="28"/>
                <w:szCs w:val="28"/>
              </w:rPr>
            </w:pPr>
          </w:p>
        </w:tc>
      </w:tr>
      <w:tr w:rsidR="0007060A" w14:paraId="7DDE218A" w14:textId="77777777" w:rsidTr="004F73D6">
        <w:trPr>
          <w:trHeight w:val="328"/>
          <w:tblHeader/>
        </w:trPr>
        <w:tc>
          <w:tcPr>
            <w:tcW w:w="5597" w:type="dxa"/>
          </w:tcPr>
          <w:p w14:paraId="4A29B469" w14:textId="77777777" w:rsidR="00832D28" w:rsidRPr="00B65708" w:rsidRDefault="00832D28" w:rsidP="00832D28">
            <w:pPr>
              <w:jc w:val="both"/>
              <w:rPr>
                <w:rFonts w:ascii="Arial" w:hAnsi="Arial" w:cs="Arial"/>
                <w:color w:val="000000" w:themeColor="text1"/>
                <w:sz w:val="24"/>
                <w:szCs w:val="24"/>
              </w:rPr>
            </w:pPr>
            <w:proofErr w:type="gramStart"/>
            <w:r w:rsidRPr="00B65708">
              <w:rPr>
                <w:rFonts w:ascii="Arial" w:hAnsi="Arial" w:cs="Arial"/>
                <w:b/>
                <w:bCs/>
                <w:color w:val="000000" w:themeColor="text1"/>
                <w:sz w:val="24"/>
                <w:szCs w:val="24"/>
              </w:rPr>
              <w:t>WHEREAS,</w:t>
            </w:r>
            <w:proofErr w:type="gramEnd"/>
            <w:r w:rsidRPr="00B65708">
              <w:rPr>
                <w:rFonts w:ascii="Arial" w:hAnsi="Arial" w:cs="Arial"/>
                <w:color w:val="000000" w:themeColor="text1"/>
                <w:sz w:val="24"/>
                <w:szCs w:val="24"/>
              </w:rPr>
              <w:t xml:space="preserve"> the DOE issued DC No. DC2022-06-0019, declaring the interim commercial operations of the REM, in consideration of the significant milestones reached in the attainment of the Readiness Criteria, and while awaiting the determination of the REC price cap and its methodology, rules on the recovery mechanism for the cost of RPS compliance by regulated entities, and structure and level of REM transaction fees.</w:t>
            </w:r>
          </w:p>
          <w:p w14:paraId="074A9A55" w14:textId="4B0EFB6B" w:rsidR="00B91789" w:rsidRPr="00832D28" w:rsidRDefault="00B91789" w:rsidP="0007060A">
            <w:pPr>
              <w:pStyle w:val="p2"/>
              <w:tabs>
                <w:tab w:val="left" w:pos="284"/>
                <w:tab w:val="left" w:pos="567"/>
                <w:tab w:val="left" w:pos="851"/>
                <w:tab w:val="left" w:pos="1134"/>
              </w:tabs>
              <w:jc w:val="both"/>
              <w:rPr>
                <w:rFonts w:ascii="Arial" w:hAnsi="Arial" w:cs="Arial"/>
                <w:sz w:val="23"/>
                <w:szCs w:val="23"/>
                <w:lang w:val="en-PH"/>
              </w:rPr>
            </w:pPr>
          </w:p>
        </w:tc>
        <w:tc>
          <w:tcPr>
            <w:tcW w:w="4428" w:type="dxa"/>
          </w:tcPr>
          <w:p w14:paraId="540F6234" w14:textId="77777777" w:rsidR="0007060A" w:rsidRPr="00040EFE" w:rsidRDefault="0007060A" w:rsidP="00040EFE">
            <w:pPr>
              <w:jc w:val="center"/>
              <w:rPr>
                <w:b/>
                <w:bCs/>
                <w:sz w:val="28"/>
                <w:szCs w:val="28"/>
              </w:rPr>
            </w:pPr>
          </w:p>
        </w:tc>
        <w:tc>
          <w:tcPr>
            <w:tcW w:w="4278" w:type="dxa"/>
          </w:tcPr>
          <w:p w14:paraId="6D374EFD" w14:textId="77777777" w:rsidR="0007060A" w:rsidRPr="00040EFE" w:rsidRDefault="0007060A" w:rsidP="00040EFE">
            <w:pPr>
              <w:jc w:val="center"/>
              <w:rPr>
                <w:b/>
                <w:bCs/>
                <w:sz w:val="28"/>
                <w:szCs w:val="28"/>
              </w:rPr>
            </w:pPr>
          </w:p>
        </w:tc>
      </w:tr>
      <w:tr w:rsidR="00093446" w14:paraId="37F3B88D" w14:textId="77777777" w:rsidTr="004F73D6">
        <w:trPr>
          <w:trHeight w:val="328"/>
          <w:tblHeader/>
        </w:trPr>
        <w:tc>
          <w:tcPr>
            <w:tcW w:w="5597" w:type="dxa"/>
          </w:tcPr>
          <w:p w14:paraId="39CEECAF" w14:textId="77777777" w:rsidR="00694333" w:rsidRPr="00B65708" w:rsidRDefault="00694333" w:rsidP="00694333">
            <w:pPr>
              <w:jc w:val="both"/>
              <w:rPr>
                <w:rFonts w:ascii="Arial" w:hAnsi="Arial" w:cs="Arial"/>
                <w:color w:val="000000" w:themeColor="text1"/>
                <w:sz w:val="24"/>
                <w:szCs w:val="24"/>
              </w:rPr>
            </w:pPr>
            <w:r w:rsidRPr="00B65708">
              <w:rPr>
                <w:rFonts w:ascii="Arial" w:hAnsi="Arial" w:cs="Arial"/>
                <w:b/>
                <w:bCs/>
                <w:color w:val="000000" w:themeColor="text1"/>
                <w:sz w:val="24"/>
                <w:szCs w:val="24"/>
              </w:rPr>
              <w:t xml:space="preserve">WHEREAS, </w:t>
            </w:r>
            <w:r w:rsidRPr="00B65708">
              <w:rPr>
                <w:rFonts w:ascii="Arial" w:hAnsi="Arial" w:cs="Arial"/>
                <w:color w:val="000000" w:themeColor="text1"/>
                <w:sz w:val="24"/>
                <w:szCs w:val="24"/>
              </w:rPr>
              <w:t>the DOE issued DC No. DC2023-05-0015 on the amendments to the RPS On-Grid Rules and DC No. DC2023-05-0014 on the revised RPS Off-Grid Rules, which prescribe for the Energy Regulatory Commission (ERC) to establish a Regulatory Framework for the operationalization of the RPS On-Grid Rules and RPS Off-Grid Rules, respectively, in consideration of the following: impacts of a Mandated Participant’s compliance with its RPS obligations; attendant costs arising from a Mandated Participant’s RPS compliance; and applicable cost recovery mechanisms, among others;</w:t>
            </w:r>
          </w:p>
          <w:p w14:paraId="7DACE13E" w14:textId="77777777" w:rsidR="00093446" w:rsidRPr="00694333" w:rsidRDefault="00093446" w:rsidP="0007060A">
            <w:pPr>
              <w:pStyle w:val="p2"/>
              <w:tabs>
                <w:tab w:val="left" w:pos="284"/>
                <w:tab w:val="left" w:pos="567"/>
                <w:tab w:val="left" w:pos="851"/>
                <w:tab w:val="left" w:pos="1134"/>
              </w:tabs>
              <w:jc w:val="both"/>
              <w:rPr>
                <w:rFonts w:ascii="Arial" w:hAnsi="Arial" w:cs="Arial"/>
                <w:sz w:val="23"/>
                <w:szCs w:val="23"/>
                <w:lang w:val="en-PH"/>
              </w:rPr>
            </w:pPr>
          </w:p>
        </w:tc>
        <w:tc>
          <w:tcPr>
            <w:tcW w:w="4428" w:type="dxa"/>
          </w:tcPr>
          <w:p w14:paraId="6C4A1237" w14:textId="77777777" w:rsidR="00093446" w:rsidRPr="00040EFE" w:rsidRDefault="00093446" w:rsidP="00040EFE">
            <w:pPr>
              <w:jc w:val="center"/>
              <w:rPr>
                <w:b/>
                <w:bCs/>
                <w:sz w:val="28"/>
                <w:szCs w:val="28"/>
              </w:rPr>
            </w:pPr>
          </w:p>
        </w:tc>
        <w:tc>
          <w:tcPr>
            <w:tcW w:w="4278" w:type="dxa"/>
          </w:tcPr>
          <w:p w14:paraId="70A9AA35" w14:textId="77777777" w:rsidR="00093446" w:rsidRPr="00040EFE" w:rsidRDefault="00093446" w:rsidP="00040EFE">
            <w:pPr>
              <w:jc w:val="center"/>
              <w:rPr>
                <w:b/>
                <w:bCs/>
                <w:sz w:val="28"/>
                <w:szCs w:val="28"/>
              </w:rPr>
            </w:pPr>
          </w:p>
        </w:tc>
      </w:tr>
      <w:tr w:rsidR="00093446" w14:paraId="080DAFEF" w14:textId="77777777" w:rsidTr="004F73D6">
        <w:trPr>
          <w:trHeight w:val="328"/>
          <w:tblHeader/>
        </w:trPr>
        <w:tc>
          <w:tcPr>
            <w:tcW w:w="5597" w:type="dxa"/>
          </w:tcPr>
          <w:p w14:paraId="69E8790D" w14:textId="77777777" w:rsidR="00546F6D" w:rsidRPr="00B65708" w:rsidRDefault="00546F6D" w:rsidP="00546F6D">
            <w:pPr>
              <w:jc w:val="both"/>
              <w:rPr>
                <w:rFonts w:ascii="Arial" w:hAnsi="Arial" w:cs="Arial"/>
                <w:color w:val="000000" w:themeColor="text1"/>
                <w:sz w:val="24"/>
                <w:szCs w:val="24"/>
              </w:rPr>
            </w:pPr>
            <w:r w:rsidRPr="00B65708">
              <w:rPr>
                <w:rFonts w:ascii="Arial" w:hAnsi="Arial" w:cs="Arial"/>
                <w:b/>
                <w:bCs/>
                <w:color w:val="000000" w:themeColor="text1"/>
                <w:sz w:val="24"/>
                <w:szCs w:val="24"/>
              </w:rPr>
              <w:t>WHEREAS,</w:t>
            </w:r>
            <w:r w:rsidRPr="00B65708">
              <w:rPr>
                <w:rFonts w:ascii="Arial" w:hAnsi="Arial" w:cs="Arial"/>
                <w:color w:val="000000" w:themeColor="text1"/>
                <w:sz w:val="24"/>
                <w:szCs w:val="24"/>
              </w:rPr>
              <w:t xml:space="preserve"> the use of the PREMS assets, composed of a Main Server and a Disaster Recovery Server, was transferred from the PEMC to the Independent Electricity Market Operator of the Philippines, Inc. (IEMOP) through an Agreement entered into by the DOE, PEMC, and IEMOP and duly executed on</w:t>
            </w:r>
            <w:r>
              <w:rPr>
                <w:rFonts w:ascii="Arial" w:hAnsi="Arial" w:cs="Arial"/>
                <w:color w:val="000000" w:themeColor="text1"/>
                <w:sz w:val="24"/>
                <w:szCs w:val="24"/>
              </w:rPr>
              <w:t xml:space="preserve"> 21 June </w:t>
            </w:r>
            <w:proofErr w:type="gramStart"/>
            <w:r>
              <w:rPr>
                <w:rFonts w:ascii="Arial" w:hAnsi="Arial" w:cs="Arial"/>
                <w:color w:val="000000" w:themeColor="text1"/>
                <w:sz w:val="24"/>
                <w:szCs w:val="24"/>
              </w:rPr>
              <w:t>2023</w:t>
            </w:r>
            <w:r w:rsidRPr="00B65708">
              <w:rPr>
                <w:rFonts w:ascii="Arial" w:hAnsi="Arial" w:cs="Arial"/>
                <w:color w:val="000000" w:themeColor="text1"/>
                <w:sz w:val="24"/>
                <w:szCs w:val="24"/>
              </w:rPr>
              <w:t>;</w:t>
            </w:r>
            <w:proofErr w:type="gramEnd"/>
            <w:r w:rsidRPr="00B65708">
              <w:rPr>
                <w:rFonts w:ascii="Arial" w:hAnsi="Arial" w:cs="Arial"/>
                <w:color w:val="000000" w:themeColor="text1"/>
                <w:sz w:val="24"/>
                <w:szCs w:val="24"/>
              </w:rPr>
              <w:t xml:space="preserve"> </w:t>
            </w:r>
          </w:p>
          <w:p w14:paraId="42A36983" w14:textId="77777777" w:rsidR="00093446" w:rsidRPr="00546F6D" w:rsidRDefault="00093446" w:rsidP="0007060A">
            <w:pPr>
              <w:pStyle w:val="p2"/>
              <w:tabs>
                <w:tab w:val="left" w:pos="284"/>
                <w:tab w:val="left" w:pos="567"/>
                <w:tab w:val="left" w:pos="851"/>
                <w:tab w:val="left" w:pos="1134"/>
              </w:tabs>
              <w:jc w:val="both"/>
              <w:rPr>
                <w:rFonts w:ascii="Arial" w:hAnsi="Arial" w:cs="Arial"/>
                <w:sz w:val="23"/>
                <w:szCs w:val="23"/>
                <w:lang w:val="en-PH"/>
              </w:rPr>
            </w:pPr>
          </w:p>
        </w:tc>
        <w:tc>
          <w:tcPr>
            <w:tcW w:w="4428" w:type="dxa"/>
          </w:tcPr>
          <w:p w14:paraId="1213A155" w14:textId="77777777" w:rsidR="00093446" w:rsidRPr="00040EFE" w:rsidRDefault="00093446" w:rsidP="00040EFE">
            <w:pPr>
              <w:jc w:val="center"/>
              <w:rPr>
                <w:b/>
                <w:bCs/>
                <w:sz w:val="28"/>
                <w:szCs w:val="28"/>
              </w:rPr>
            </w:pPr>
          </w:p>
        </w:tc>
        <w:tc>
          <w:tcPr>
            <w:tcW w:w="4278" w:type="dxa"/>
          </w:tcPr>
          <w:p w14:paraId="1620EC15" w14:textId="77777777" w:rsidR="00093446" w:rsidRPr="00040EFE" w:rsidRDefault="00093446" w:rsidP="00040EFE">
            <w:pPr>
              <w:jc w:val="center"/>
              <w:rPr>
                <w:b/>
                <w:bCs/>
                <w:sz w:val="28"/>
                <w:szCs w:val="28"/>
              </w:rPr>
            </w:pPr>
          </w:p>
        </w:tc>
      </w:tr>
      <w:tr w:rsidR="00694333" w14:paraId="0576736D" w14:textId="77777777" w:rsidTr="004F73D6">
        <w:trPr>
          <w:trHeight w:val="328"/>
          <w:tblHeader/>
        </w:trPr>
        <w:tc>
          <w:tcPr>
            <w:tcW w:w="5597" w:type="dxa"/>
          </w:tcPr>
          <w:p w14:paraId="14713F97" w14:textId="77777777" w:rsidR="00694333" w:rsidRDefault="00907709" w:rsidP="004313AB">
            <w:pPr>
              <w:jc w:val="both"/>
              <w:rPr>
                <w:rFonts w:ascii="Arial" w:hAnsi="Arial" w:cs="Arial"/>
                <w:color w:val="000000" w:themeColor="text1"/>
                <w:sz w:val="24"/>
                <w:szCs w:val="24"/>
              </w:rPr>
            </w:pPr>
            <w:r w:rsidRPr="00B65708">
              <w:rPr>
                <w:rFonts w:ascii="Arial" w:hAnsi="Arial" w:cs="Arial"/>
                <w:b/>
                <w:bCs/>
                <w:color w:val="000000" w:themeColor="text1"/>
                <w:sz w:val="24"/>
                <w:szCs w:val="24"/>
              </w:rPr>
              <w:t>WHEREAS,</w:t>
            </w:r>
            <w:r w:rsidRPr="00B65708">
              <w:rPr>
                <w:rFonts w:ascii="Arial" w:hAnsi="Arial" w:cs="Arial"/>
                <w:color w:val="000000" w:themeColor="text1"/>
                <w:sz w:val="24"/>
                <w:szCs w:val="24"/>
              </w:rPr>
              <w:t xml:space="preserve"> the ERC through its Resolution No. </w:t>
            </w:r>
            <w:r w:rsidRPr="00B65708">
              <w:rPr>
                <w:rFonts w:ascii="Arial" w:hAnsi="Arial" w:cs="Arial"/>
                <w:color w:val="000000" w:themeColor="text1"/>
                <w:sz w:val="24"/>
                <w:szCs w:val="24"/>
                <w:u w:val="single"/>
              </w:rPr>
              <w:t xml:space="preserve">__________ </w:t>
            </w:r>
            <w:r w:rsidRPr="00B65708">
              <w:rPr>
                <w:rFonts w:ascii="Arial" w:hAnsi="Arial" w:cs="Arial"/>
                <w:color w:val="000000" w:themeColor="text1"/>
                <w:sz w:val="24"/>
                <w:szCs w:val="24"/>
              </w:rPr>
              <w:t xml:space="preserve"> dated </w:t>
            </w:r>
            <w:r w:rsidRPr="00B65708">
              <w:rPr>
                <w:rFonts w:ascii="Arial" w:hAnsi="Arial" w:cs="Arial"/>
                <w:color w:val="000000" w:themeColor="text1"/>
                <w:sz w:val="24"/>
                <w:szCs w:val="24"/>
                <w:u w:val="single"/>
              </w:rPr>
              <w:t xml:space="preserve">__________ </w:t>
            </w:r>
            <w:r w:rsidRPr="004007E8">
              <w:rPr>
                <w:rFonts w:ascii="Arial" w:hAnsi="Arial" w:cs="Arial"/>
                <w:color w:val="000000" w:themeColor="text1"/>
                <w:sz w:val="24"/>
                <w:szCs w:val="24"/>
              </w:rPr>
              <w:t>,</w:t>
            </w:r>
            <w:r>
              <w:rPr>
                <w:rFonts w:ascii="Arial" w:hAnsi="Arial" w:cs="Arial"/>
                <w:color w:val="000000" w:themeColor="text1"/>
                <w:sz w:val="24"/>
                <w:szCs w:val="24"/>
                <w:u w:val="single"/>
              </w:rPr>
              <w:t xml:space="preserve"> </w:t>
            </w:r>
            <w:r w:rsidRPr="00B65708">
              <w:rPr>
                <w:rFonts w:ascii="Arial" w:hAnsi="Arial" w:cs="Arial"/>
                <w:color w:val="000000" w:themeColor="text1"/>
                <w:sz w:val="24"/>
                <w:szCs w:val="24"/>
              </w:rPr>
              <w:t>sets out the rules and regulations for the establishment of the Regulatory Framework for the operationalization of the RPS On-Grid Rules and RPS Off-Grid Rules which includes, among others: REC price cap and methodology; recovery mechanism for the cost of RPS compliance by regulated entities; and level of REM transaction fees;</w:t>
            </w:r>
          </w:p>
          <w:p w14:paraId="396DD724" w14:textId="6620D806" w:rsidR="004313AB" w:rsidRPr="004313AB" w:rsidRDefault="004313AB" w:rsidP="004313AB">
            <w:pPr>
              <w:jc w:val="both"/>
              <w:rPr>
                <w:rFonts w:ascii="Arial" w:hAnsi="Arial" w:cs="Arial"/>
                <w:color w:val="000000" w:themeColor="text1"/>
                <w:sz w:val="24"/>
                <w:szCs w:val="24"/>
              </w:rPr>
            </w:pPr>
          </w:p>
        </w:tc>
        <w:tc>
          <w:tcPr>
            <w:tcW w:w="4428" w:type="dxa"/>
          </w:tcPr>
          <w:p w14:paraId="45E343F7" w14:textId="77777777" w:rsidR="00694333" w:rsidRPr="00040EFE" w:rsidRDefault="00694333" w:rsidP="00040EFE">
            <w:pPr>
              <w:jc w:val="center"/>
              <w:rPr>
                <w:b/>
                <w:bCs/>
                <w:sz w:val="28"/>
                <w:szCs w:val="28"/>
              </w:rPr>
            </w:pPr>
          </w:p>
        </w:tc>
        <w:tc>
          <w:tcPr>
            <w:tcW w:w="4278" w:type="dxa"/>
          </w:tcPr>
          <w:p w14:paraId="3AB323F0" w14:textId="77777777" w:rsidR="00694333" w:rsidRPr="00040EFE" w:rsidRDefault="00694333" w:rsidP="00040EFE">
            <w:pPr>
              <w:jc w:val="center"/>
              <w:rPr>
                <w:b/>
                <w:bCs/>
                <w:sz w:val="28"/>
                <w:szCs w:val="28"/>
              </w:rPr>
            </w:pPr>
          </w:p>
        </w:tc>
      </w:tr>
      <w:tr w:rsidR="00694333" w14:paraId="614CBD46" w14:textId="77777777" w:rsidTr="004F73D6">
        <w:trPr>
          <w:trHeight w:val="328"/>
          <w:tblHeader/>
        </w:trPr>
        <w:tc>
          <w:tcPr>
            <w:tcW w:w="5597" w:type="dxa"/>
          </w:tcPr>
          <w:p w14:paraId="546CD2F0" w14:textId="57A13E60" w:rsidR="00694333" w:rsidRPr="00B91789" w:rsidRDefault="004313AB" w:rsidP="0007060A">
            <w:pPr>
              <w:pStyle w:val="p2"/>
              <w:tabs>
                <w:tab w:val="left" w:pos="284"/>
                <w:tab w:val="left" w:pos="567"/>
                <w:tab w:val="left" w:pos="851"/>
                <w:tab w:val="left" w:pos="1134"/>
              </w:tabs>
              <w:jc w:val="both"/>
              <w:rPr>
                <w:rFonts w:ascii="Arial" w:hAnsi="Arial" w:cs="Arial"/>
                <w:sz w:val="23"/>
                <w:szCs w:val="23"/>
              </w:rPr>
            </w:pPr>
            <w:r w:rsidRPr="00B65708">
              <w:rPr>
                <w:rFonts w:ascii="Arial" w:hAnsi="Arial" w:cs="Arial"/>
                <w:b/>
                <w:bCs/>
                <w:color w:val="000000" w:themeColor="text1"/>
                <w:sz w:val="24"/>
                <w:szCs w:val="24"/>
              </w:rPr>
              <w:t>WHEREAS,</w:t>
            </w:r>
            <w:r w:rsidRPr="00B65708">
              <w:rPr>
                <w:rFonts w:ascii="Arial" w:hAnsi="Arial" w:cs="Arial"/>
                <w:color w:val="000000" w:themeColor="text1"/>
                <w:sz w:val="24"/>
                <w:szCs w:val="24"/>
              </w:rPr>
              <w:t xml:space="preserve"> PEMC through its letter dated </w:t>
            </w:r>
            <w:r w:rsidRPr="00B65708">
              <w:rPr>
                <w:rFonts w:ascii="Arial" w:hAnsi="Arial" w:cs="Arial"/>
                <w:color w:val="000000" w:themeColor="text1"/>
                <w:sz w:val="24"/>
                <w:szCs w:val="24"/>
                <w:u w:val="single"/>
              </w:rPr>
              <w:t>______</w:t>
            </w:r>
            <w:r>
              <w:rPr>
                <w:rFonts w:ascii="Arial" w:hAnsi="Arial" w:cs="Arial"/>
                <w:color w:val="000000" w:themeColor="text1"/>
                <w:sz w:val="24"/>
                <w:szCs w:val="24"/>
                <w:u w:val="single"/>
              </w:rPr>
              <w:t>___</w:t>
            </w:r>
            <w:r w:rsidRPr="00B65708">
              <w:rPr>
                <w:rFonts w:ascii="Arial" w:hAnsi="Arial" w:cs="Arial"/>
                <w:color w:val="000000" w:themeColor="text1"/>
                <w:sz w:val="24"/>
                <w:szCs w:val="24"/>
                <w:u w:val="single"/>
              </w:rPr>
              <w:t>__</w:t>
            </w:r>
            <w:r>
              <w:rPr>
                <w:rFonts w:ascii="Arial" w:hAnsi="Arial" w:cs="Arial"/>
                <w:color w:val="000000" w:themeColor="text1"/>
                <w:sz w:val="24"/>
                <w:szCs w:val="24"/>
              </w:rPr>
              <w:t xml:space="preserve"> </w:t>
            </w:r>
            <w:r w:rsidRPr="00B65708">
              <w:rPr>
                <w:rFonts w:ascii="Arial" w:hAnsi="Arial" w:cs="Arial"/>
                <w:color w:val="000000" w:themeColor="text1"/>
                <w:sz w:val="24"/>
                <w:szCs w:val="24"/>
              </w:rPr>
              <w:t>certified that all critical activities under the Readiness Criteria have been completed and recommended for the commencement of the full commercial operations of the REM, considering that the transfer and use of the PREMS have been carried out and the following regulatory matters have been established: REC price cap and methodology; recovery mechanism for the cost of RPS compliance by regulated entities; and level of REM transaction fees;</w:t>
            </w:r>
          </w:p>
        </w:tc>
        <w:tc>
          <w:tcPr>
            <w:tcW w:w="4428" w:type="dxa"/>
          </w:tcPr>
          <w:p w14:paraId="6DE52836" w14:textId="77777777" w:rsidR="00694333" w:rsidRPr="00040EFE" w:rsidRDefault="00694333" w:rsidP="00040EFE">
            <w:pPr>
              <w:jc w:val="center"/>
              <w:rPr>
                <w:b/>
                <w:bCs/>
                <w:sz w:val="28"/>
                <w:szCs w:val="28"/>
              </w:rPr>
            </w:pPr>
          </w:p>
        </w:tc>
        <w:tc>
          <w:tcPr>
            <w:tcW w:w="4278" w:type="dxa"/>
          </w:tcPr>
          <w:p w14:paraId="0B449675" w14:textId="77777777" w:rsidR="00694333" w:rsidRPr="00040EFE" w:rsidRDefault="00694333" w:rsidP="00040EFE">
            <w:pPr>
              <w:jc w:val="center"/>
              <w:rPr>
                <w:b/>
                <w:bCs/>
                <w:sz w:val="28"/>
                <w:szCs w:val="28"/>
              </w:rPr>
            </w:pPr>
          </w:p>
        </w:tc>
      </w:tr>
      <w:tr w:rsidR="004313AB" w14:paraId="055407B3" w14:textId="77777777" w:rsidTr="004F73D6">
        <w:trPr>
          <w:trHeight w:val="328"/>
          <w:tblHeader/>
        </w:trPr>
        <w:tc>
          <w:tcPr>
            <w:tcW w:w="5597" w:type="dxa"/>
          </w:tcPr>
          <w:p w14:paraId="53192626" w14:textId="77777777" w:rsidR="00C70F80" w:rsidRPr="00B65708" w:rsidRDefault="00C70F80" w:rsidP="00C70F80">
            <w:pPr>
              <w:jc w:val="both"/>
              <w:rPr>
                <w:rFonts w:ascii="Arial" w:hAnsi="Arial" w:cs="Arial"/>
                <w:color w:val="000000" w:themeColor="text1"/>
                <w:sz w:val="24"/>
                <w:szCs w:val="24"/>
              </w:rPr>
            </w:pPr>
            <w:r w:rsidRPr="00B65708">
              <w:rPr>
                <w:rFonts w:ascii="Arial" w:hAnsi="Arial" w:cs="Arial"/>
                <w:b/>
                <w:bCs/>
                <w:color w:val="000000" w:themeColor="text1"/>
                <w:sz w:val="24"/>
                <w:szCs w:val="24"/>
              </w:rPr>
              <w:t>WHEREAS,</w:t>
            </w:r>
            <w:r w:rsidRPr="00B65708">
              <w:rPr>
                <w:rFonts w:ascii="Arial" w:hAnsi="Arial" w:cs="Arial"/>
                <w:color w:val="000000" w:themeColor="text1"/>
                <w:sz w:val="24"/>
                <w:szCs w:val="24"/>
              </w:rPr>
              <w:t xml:space="preserve"> the RPS Composite Team (RPSCT) through its Resolution No. RPSCT2023-</w:t>
            </w:r>
            <w:r w:rsidRPr="00B65708">
              <w:rPr>
                <w:rFonts w:ascii="Arial" w:hAnsi="Arial" w:cs="Arial"/>
                <w:color w:val="000000" w:themeColor="text1"/>
                <w:sz w:val="24"/>
                <w:szCs w:val="24"/>
                <w:u w:val="single"/>
              </w:rPr>
              <w:t>______</w:t>
            </w:r>
            <w:r>
              <w:rPr>
                <w:rFonts w:ascii="Arial" w:hAnsi="Arial" w:cs="Arial"/>
                <w:color w:val="000000" w:themeColor="text1"/>
                <w:sz w:val="24"/>
                <w:szCs w:val="24"/>
                <w:u w:val="single"/>
              </w:rPr>
              <w:t>___</w:t>
            </w:r>
            <w:r w:rsidRPr="00B65708">
              <w:rPr>
                <w:rFonts w:ascii="Arial" w:hAnsi="Arial" w:cs="Arial"/>
                <w:color w:val="000000" w:themeColor="text1"/>
                <w:sz w:val="24"/>
                <w:szCs w:val="24"/>
                <w:u w:val="single"/>
              </w:rPr>
              <w:t>__</w:t>
            </w:r>
            <w:r w:rsidRPr="00B65708">
              <w:rPr>
                <w:rFonts w:ascii="Arial" w:hAnsi="Arial" w:cs="Arial"/>
                <w:color w:val="000000" w:themeColor="text1"/>
                <w:sz w:val="24"/>
                <w:szCs w:val="24"/>
              </w:rPr>
              <w:t>, upon validation and verification that all critical activities under the Readiness Criteria for the commencement of the full commercial operations of the REM have been completed, recommended proceeding with the declaration of the full commercial operations of the REM wherein all RER functions can be operationalized, including financial transactions between the REM participants.</w:t>
            </w:r>
          </w:p>
          <w:p w14:paraId="7FAF0D7A" w14:textId="77777777" w:rsidR="004313AB" w:rsidRPr="00C70F80" w:rsidRDefault="004313AB" w:rsidP="0007060A">
            <w:pPr>
              <w:pStyle w:val="p2"/>
              <w:tabs>
                <w:tab w:val="left" w:pos="284"/>
                <w:tab w:val="left" w:pos="567"/>
                <w:tab w:val="left" w:pos="851"/>
                <w:tab w:val="left" w:pos="1134"/>
              </w:tabs>
              <w:jc w:val="both"/>
              <w:rPr>
                <w:rFonts w:ascii="Arial" w:hAnsi="Arial" w:cs="Arial"/>
                <w:b/>
                <w:bCs/>
                <w:color w:val="000000" w:themeColor="text1"/>
                <w:sz w:val="24"/>
                <w:szCs w:val="24"/>
                <w:lang w:val="en-PH"/>
              </w:rPr>
            </w:pPr>
          </w:p>
        </w:tc>
        <w:tc>
          <w:tcPr>
            <w:tcW w:w="4428" w:type="dxa"/>
          </w:tcPr>
          <w:p w14:paraId="79A4F8C1" w14:textId="77777777" w:rsidR="004313AB" w:rsidRPr="00040EFE" w:rsidRDefault="004313AB" w:rsidP="00040EFE">
            <w:pPr>
              <w:jc w:val="center"/>
              <w:rPr>
                <w:b/>
                <w:bCs/>
                <w:sz w:val="28"/>
                <w:szCs w:val="28"/>
              </w:rPr>
            </w:pPr>
          </w:p>
        </w:tc>
        <w:tc>
          <w:tcPr>
            <w:tcW w:w="4278" w:type="dxa"/>
          </w:tcPr>
          <w:p w14:paraId="48E7F2A2" w14:textId="77777777" w:rsidR="004313AB" w:rsidRPr="00040EFE" w:rsidRDefault="004313AB" w:rsidP="00040EFE">
            <w:pPr>
              <w:jc w:val="center"/>
              <w:rPr>
                <w:b/>
                <w:bCs/>
                <w:sz w:val="28"/>
                <w:szCs w:val="28"/>
              </w:rPr>
            </w:pPr>
          </w:p>
        </w:tc>
      </w:tr>
      <w:tr w:rsidR="00C70F80" w14:paraId="2BAFFBCA" w14:textId="77777777" w:rsidTr="004F73D6">
        <w:trPr>
          <w:trHeight w:val="328"/>
          <w:tblHeader/>
        </w:trPr>
        <w:tc>
          <w:tcPr>
            <w:tcW w:w="5597" w:type="dxa"/>
          </w:tcPr>
          <w:p w14:paraId="6158EBBF" w14:textId="77777777" w:rsidR="00A952C9" w:rsidRPr="00B65708" w:rsidRDefault="00A952C9" w:rsidP="00A952C9">
            <w:pPr>
              <w:jc w:val="both"/>
              <w:rPr>
                <w:rFonts w:ascii="Arial" w:hAnsi="Arial" w:cs="Arial"/>
                <w:color w:val="000000" w:themeColor="text1"/>
                <w:sz w:val="24"/>
                <w:szCs w:val="24"/>
              </w:rPr>
            </w:pPr>
            <w:r w:rsidRPr="00B65708">
              <w:rPr>
                <w:rFonts w:ascii="Arial" w:hAnsi="Arial" w:cs="Arial"/>
                <w:b/>
                <w:bCs/>
                <w:color w:val="000000" w:themeColor="text1"/>
                <w:sz w:val="24"/>
                <w:szCs w:val="24"/>
              </w:rPr>
              <w:t>NOW, THEREFORE,</w:t>
            </w:r>
            <w:r w:rsidRPr="00B65708">
              <w:rPr>
                <w:rFonts w:ascii="Arial" w:hAnsi="Arial" w:cs="Arial"/>
                <w:color w:val="000000" w:themeColor="text1"/>
                <w:sz w:val="24"/>
                <w:szCs w:val="24"/>
              </w:rPr>
              <w:t xml:space="preserve"> premises considered, the DOE adopts the recommendation of the RPSCT and hereby declares as follows:</w:t>
            </w:r>
          </w:p>
          <w:p w14:paraId="2B58E351" w14:textId="77777777" w:rsidR="00A952C9" w:rsidRPr="00B65708" w:rsidRDefault="00A952C9" w:rsidP="00A952C9">
            <w:pPr>
              <w:jc w:val="both"/>
              <w:rPr>
                <w:rFonts w:ascii="Arial" w:hAnsi="Arial" w:cs="Arial"/>
                <w:color w:val="000000" w:themeColor="text1"/>
                <w:sz w:val="24"/>
                <w:szCs w:val="24"/>
              </w:rPr>
            </w:pPr>
          </w:p>
          <w:p w14:paraId="0C15679B" w14:textId="77777777" w:rsidR="00A952C9" w:rsidRPr="00B65708" w:rsidRDefault="00A952C9" w:rsidP="00A952C9">
            <w:pPr>
              <w:jc w:val="both"/>
              <w:rPr>
                <w:rFonts w:ascii="Arial" w:hAnsi="Arial" w:cs="Arial"/>
                <w:color w:val="000000" w:themeColor="text1"/>
                <w:sz w:val="24"/>
                <w:szCs w:val="24"/>
              </w:rPr>
            </w:pPr>
          </w:p>
          <w:p w14:paraId="2C345C3C" w14:textId="77777777" w:rsidR="00A952C9" w:rsidRPr="00B65708" w:rsidRDefault="00A952C9" w:rsidP="00A952C9">
            <w:pPr>
              <w:jc w:val="both"/>
              <w:rPr>
                <w:rFonts w:ascii="Arial" w:hAnsi="Arial" w:cs="Arial"/>
                <w:color w:val="000000" w:themeColor="text1"/>
                <w:sz w:val="24"/>
                <w:szCs w:val="24"/>
              </w:rPr>
            </w:pPr>
            <w:r w:rsidRPr="00B65708">
              <w:rPr>
                <w:rFonts w:ascii="Arial" w:hAnsi="Arial" w:cs="Arial"/>
                <w:b/>
                <w:bCs/>
                <w:color w:val="000000" w:themeColor="text1"/>
                <w:sz w:val="24"/>
                <w:szCs w:val="24"/>
              </w:rPr>
              <w:t>Section 1.  Title.</w:t>
            </w:r>
            <w:r w:rsidRPr="00B65708">
              <w:rPr>
                <w:rFonts w:ascii="Arial" w:hAnsi="Arial" w:cs="Arial"/>
                <w:color w:val="000000" w:themeColor="text1"/>
                <w:sz w:val="24"/>
                <w:szCs w:val="24"/>
              </w:rPr>
              <w:t xml:space="preserve">  This Circular shall be known as the </w:t>
            </w:r>
            <w:r w:rsidRPr="00B65708">
              <w:rPr>
                <w:rFonts w:ascii="Arial" w:hAnsi="Arial" w:cs="Arial"/>
                <w:b/>
                <w:bCs/>
                <w:i/>
                <w:iCs/>
                <w:color w:val="000000" w:themeColor="text1"/>
                <w:sz w:val="24"/>
                <w:szCs w:val="24"/>
              </w:rPr>
              <w:t>“Declaration of the Full Commercial Operations of the Renewable Energy Market”</w:t>
            </w:r>
            <w:r w:rsidRPr="00B65708">
              <w:rPr>
                <w:rFonts w:ascii="Arial" w:hAnsi="Arial" w:cs="Arial"/>
                <w:color w:val="000000" w:themeColor="text1"/>
                <w:sz w:val="24"/>
                <w:szCs w:val="24"/>
              </w:rPr>
              <w:t>.</w:t>
            </w:r>
          </w:p>
          <w:p w14:paraId="6FC322BD" w14:textId="77777777" w:rsidR="00A952C9" w:rsidRPr="00B65708" w:rsidRDefault="00A952C9" w:rsidP="00A952C9">
            <w:pPr>
              <w:jc w:val="both"/>
              <w:rPr>
                <w:rFonts w:ascii="Arial" w:hAnsi="Arial" w:cs="Arial"/>
                <w:color w:val="000000" w:themeColor="text1"/>
                <w:sz w:val="24"/>
                <w:szCs w:val="24"/>
              </w:rPr>
            </w:pPr>
          </w:p>
          <w:p w14:paraId="68D21525" w14:textId="5A711EAB" w:rsidR="00C70F80" w:rsidRPr="00A952C9" w:rsidRDefault="00A952C9" w:rsidP="00C70F80">
            <w:pPr>
              <w:jc w:val="both"/>
              <w:rPr>
                <w:rFonts w:ascii="Arial" w:hAnsi="Arial" w:cs="Arial"/>
                <w:i/>
                <w:iCs/>
                <w:color w:val="000000" w:themeColor="text1"/>
                <w:sz w:val="24"/>
                <w:szCs w:val="24"/>
              </w:rPr>
            </w:pPr>
            <w:r w:rsidRPr="00B65708">
              <w:rPr>
                <w:rFonts w:ascii="Arial" w:hAnsi="Arial" w:cs="Arial"/>
                <w:color w:val="000000" w:themeColor="text1"/>
                <w:sz w:val="24"/>
                <w:szCs w:val="24"/>
              </w:rPr>
              <w:t>The Full Commercial Operations (COP) of the REM, its activities and governing rules hereinafter provided shall be referred to as “</w:t>
            </w:r>
            <w:r w:rsidRPr="00B65708">
              <w:rPr>
                <w:rFonts w:ascii="Arial" w:hAnsi="Arial" w:cs="Arial"/>
                <w:i/>
                <w:iCs/>
                <w:color w:val="000000" w:themeColor="text1"/>
                <w:sz w:val="24"/>
                <w:szCs w:val="24"/>
              </w:rPr>
              <w:t>REM-COP”.</w:t>
            </w:r>
          </w:p>
        </w:tc>
        <w:tc>
          <w:tcPr>
            <w:tcW w:w="4428" w:type="dxa"/>
          </w:tcPr>
          <w:p w14:paraId="5E821677" w14:textId="77777777" w:rsidR="00C70F80" w:rsidRPr="00040EFE" w:rsidRDefault="00C70F80" w:rsidP="00040EFE">
            <w:pPr>
              <w:jc w:val="center"/>
              <w:rPr>
                <w:b/>
                <w:bCs/>
                <w:sz w:val="28"/>
                <w:szCs w:val="28"/>
              </w:rPr>
            </w:pPr>
          </w:p>
        </w:tc>
        <w:tc>
          <w:tcPr>
            <w:tcW w:w="4278" w:type="dxa"/>
          </w:tcPr>
          <w:p w14:paraId="3FA4ADE5" w14:textId="77777777" w:rsidR="00C70F80" w:rsidRPr="00040EFE" w:rsidRDefault="00C70F80" w:rsidP="00040EFE">
            <w:pPr>
              <w:jc w:val="center"/>
              <w:rPr>
                <w:b/>
                <w:bCs/>
                <w:sz w:val="28"/>
                <w:szCs w:val="28"/>
              </w:rPr>
            </w:pPr>
          </w:p>
        </w:tc>
      </w:tr>
      <w:tr w:rsidR="00C70F80" w14:paraId="3A291669" w14:textId="77777777" w:rsidTr="004F73D6">
        <w:trPr>
          <w:trHeight w:val="328"/>
          <w:tblHeader/>
        </w:trPr>
        <w:tc>
          <w:tcPr>
            <w:tcW w:w="5597" w:type="dxa"/>
          </w:tcPr>
          <w:p w14:paraId="3CF1522F" w14:textId="77777777" w:rsidR="009C1676" w:rsidRDefault="009C1676" w:rsidP="009C1676">
            <w:pPr>
              <w:jc w:val="both"/>
              <w:rPr>
                <w:rFonts w:ascii="Arial" w:hAnsi="Arial" w:cs="Arial"/>
                <w:color w:val="000000" w:themeColor="text1"/>
                <w:sz w:val="24"/>
                <w:szCs w:val="24"/>
              </w:rPr>
            </w:pPr>
            <w:r w:rsidRPr="00B65708">
              <w:rPr>
                <w:rFonts w:ascii="Arial" w:hAnsi="Arial" w:cs="Arial"/>
                <w:b/>
                <w:bCs/>
                <w:color w:val="000000" w:themeColor="text1"/>
                <w:sz w:val="24"/>
                <w:szCs w:val="24"/>
              </w:rPr>
              <w:t>Section 2. Coverage.</w:t>
            </w:r>
            <w:r w:rsidRPr="00B65708">
              <w:rPr>
                <w:rFonts w:ascii="Arial" w:hAnsi="Arial" w:cs="Arial"/>
                <w:color w:val="000000" w:themeColor="text1"/>
                <w:sz w:val="24"/>
                <w:szCs w:val="24"/>
              </w:rPr>
              <w:t xml:space="preserve">  The REM-COP shall govern the mandatory and voluntary entities consistent with Chapter 2 of the REM Rules:</w:t>
            </w:r>
          </w:p>
          <w:p w14:paraId="10EAB74F" w14:textId="77777777" w:rsidR="009C1676" w:rsidRPr="00B65708" w:rsidRDefault="009C1676" w:rsidP="009C1676">
            <w:pPr>
              <w:jc w:val="both"/>
              <w:rPr>
                <w:rFonts w:ascii="Arial" w:hAnsi="Arial" w:cs="Arial"/>
                <w:color w:val="000000" w:themeColor="text1"/>
                <w:sz w:val="24"/>
                <w:szCs w:val="24"/>
              </w:rPr>
            </w:pPr>
          </w:p>
          <w:p w14:paraId="55F0D3AC" w14:textId="77E8FE5B" w:rsidR="009C1676" w:rsidRPr="009C1676" w:rsidRDefault="009C1676" w:rsidP="009C1676">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rPr>
                <w:rFonts w:ascii="Arial" w:hAnsi="Arial" w:cs="Arial"/>
                <w:color w:val="000000" w:themeColor="text1"/>
              </w:rPr>
            </w:pPr>
            <w:r w:rsidRPr="00B65708">
              <w:rPr>
                <w:rFonts w:ascii="Arial" w:hAnsi="Arial" w:cs="Arial"/>
                <w:color w:val="000000" w:themeColor="text1"/>
              </w:rPr>
              <w:t xml:space="preserve">Mandatory REM Trading Participants, including the Mandated Participants under the RPS On-grid Rules and RPS Off-grid </w:t>
            </w:r>
            <w:proofErr w:type="gramStart"/>
            <w:r w:rsidRPr="00B65708">
              <w:rPr>
                <w:rFonts w:ascii="Arial" w:hAnsi="Arial" w:cs="Arial"/>
                <w:color w:val="000000" w:themeColor="text1"/>
              </w:rPr>
              <w:t>Rules;</w:t>
            </w:r>
            <w:proofErr w:type="gramEnd"/>
          </w:p>
          <w:p w14:paraId="4EC2427E" w14:textId="77777777" w:rsidR="007C4BA9" w:rsidRDefault="009C1676" w:rsidP="009C1676">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rPr>
                <w:rFonts w:ascii="Arial" w:hAnsi="Arial" w:cs="Arial"/>
                <w:color w:val="000000" w:themeColor="text1"/>
              </w:rPr>
            </w:pPr>
            <w:r w:rsidRPr="00B65708">
              <w:rPr>
                <w:rFonts w:ascii="Arial" w:hAnsi="Arial" w:cs="Arial"/>
                <w:color w:val="000000" w:themeColor="text1"/>
              </w:rPr>
              <w:t>Mandatory REM Generators; and</w:t>
            </w:r>
          </w:p>
          <w:p w14:paraId="1A034464" w14:textId="77777777" w:rsidR="00C70F80" w:rsidRDefault="009C1676" w:rsidP="009C1676">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rPr>
                <w:rFonts w:ascii="Arial" w:hAnsi="Arial" w:cs="Arial"/>
                <w:color w:val="000000" w:themeColor="text1"/>
              </w:rPr>
            </w:pPr>
            <w:r w:rsidRPr="007C4BA9">
              <w:rPr>
                <w:rFonts w:ascii="Arial" w:hAnsi="Arial" w:cs="Arial"/>
                <w:color w:val="000000" w:themeColor="text1"/>
              </w:rPr>
              <w:t>Voluntary REM Generators, including the Net-metering facilities, RE facilities under Green Energy Option Program and for Own-use.</w:t>
            </w:r>
          </w:p>
          <w:p w14:paraId="088A46A5" w14:textId="60238C17" w:rsidR="00CD3C48" w:rsidRPr="007C4BA9" w:rsidRDefault="00CD3C48" w:rsidP="00CD3C4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w:hAnsi="Arial" w:cs="Arial"/>
                <w:color w:val="000000" w:themeColor="text1"/>
              </w:rPr>
            </w:pPr>
          </w:p>
        </w:tc>
        <w:tc>
          <w:tcPr>
            <w:tcW w:w="4428" w:type="dxa"/>
          </w:tcPr>
          <w:p w14:paraId="3BC4D0C7" w14:textId="77777777" w:rsidR="00C70F80" w:rsidRPr="00040EFE" w:rsidRDefault="00C70F80" w:rsidP="00040EFE">
            <w:pPr>
              <w:jc w:val="center"/>
              <w:rPr>
                <w:b/>
                <w:bCs/>
                <w:sz w:val="28"/>
                <w:szCs w:val="28"/>
              </w:rPr>
            </w:pPr>
          </w:p>
        </w:tc>
        <w:tc>
          <w:tcPr>
            <w:tcW w:w="4278" w:type="dxa"/>
          </w:tcPr>
          <w:p w14:paraId="088A3BE9" w14:textId="77777777" w:rsidR="00C70F80" w:rsidRPr="00040EFE" w:rsidRDefault="00C70F80" w:rsidP="00040EFE">
            <w:pPr>
              <w:jc w:val="center"/>
              <w:rPr>
                <w:b/>
                <w:bCs/>
                <w:sz w:val="28"/>
                <w:szCs w:val="28"/>
              </w:rPr>
            </w:pPr>
          </w:p>
        </w:tc>
      </w:tr>
      <w:tr w:rsidR="009C1676" w14:paraId="6CDD574E" w14:textId="77777777" w:rsidTr="004F73D6">
        <w:trPr>
          <w:trHeight w:val="328"/>
          <w:tblHeader/>
        </w:trPr>
        <w:tc>
          <w:tcPr>
            <w:tcW w:w="5597" w:type="dxa"/>
          </w:tcPr>
          <w:p w14:paraId="531791B4" w14:textId="77777777" w:rsidR="00CD3C48" w:rsidRPr="00B65708" w:rsidRDefault="00CD3C48" w:rsidP="00CD3C48">
            <w:pPr>
              <w:jc w:val="both"/>
              <w:rPr>
                <w:rFonts w:ascii="Arial" w:hAnsi="Arial" w:cs="Arial"/>
                <w:color w:val="000000" w:themeColor="text1"/>
                <w:sz w:val="24"/>
                <w:szCs w:val="24"/>
              </w:rPr>
            </w:pPr>
            <w:r w:rsidRPr="00B65708">
              <w:rPr>
                <w:rFonts w:ascii="Arial" w:hAnsi="Arial" w:cs="Arial"/>
                <w:b/>
                <w:bCs/>
                <w:color w:val="000000" w:themeColor="text1"/>
                <w:sz w:val="24"/>
                <w:szCs w:val="24"/>
              </w:rPr>
              <w:t>Section 3.  Commencement of the REM-COP.</w:t>
            </w:r>
            <w:r w:rsidRPr="00B65708">
              <w:rPr>
                <w:rFonts w:ascii="Arial" w:hAnsi="Arial" w:cs="Arial"/>
                <w:color w:val="000000" w:themeColor="text1"/>
                <w:sz w:val="24"/>
                <w:szCs w:val="24"/>
              </w:rPr>
              <w:t xml:space="preserve">  Taking into consideration the milestones and critical activities completed under the REM Readiness Criteria, which includes the transfer and use of the PREMS and establishment of regulatory framework covering the REC price and its methodology, applicable recovery mechanism for the cost of RPS compliance, and level of REM transaction fees, the Department hereby declares the commencement of the full commercial operations of the RE Market. </w:t>
            </w:r>
          </w:p>
          <w:p w14:paraId="2306CB6A" w14:textId="77777777" w:rsidR="009C1676" w:rsidRPr="00B65708" w:rsidRDefault="009C1676" w:rsidP="009C1676">
            <w:pPr>
              <w:jc w:val="both"/>
              <w:rPr>
                <w:rFonts w:ascii="Arial" w:hAnsi="Arial" w:cs="Arial"/>
                <w:b/>
                <w:bCs/>
                <w:color w:val="000000" w:themeColor="text1"/>
                <w:sz w:val="24"/>
                <w:szCs w:val="24"/>
              </w:rPr>
            </w:pPr>
          </w:p>
        </w:tc>
        <w:tc>
          <w:tcPr>
            <w:tcW w:w="4428" w:type="dxa"/>
          </w:tcPr>
          <w:p w14:paraId="56B66D42" w14:textId="77777777" w:rsidR="009C1676" w:rsidRPr="00040EFE" w:rsidRDefault="009C1676" w:rsidP="00040EFE">
            <w:pPr>
              <w:jc w:val="center"/>
              <w:rPr>
                <w:b/>
                <w:bCs/>
                <w:sz w:val="28"/>
                <w:szCs w:val="28"/>
              </w:rPr>
            </w:pPr>
          </w:p>
        </w:tc>
        <w:tc>
          <w:tcPr>
            <w:tcW w:w="4278" w:type="dxa"/>
          </w:tcPr>
          <w:p w14:paraId="2F8A6F52" w14:textId="77777777" w:rsidR="009C1676" w:rsidRPr="00040EFE" w:rsidRDefault="009C1676" w:rsidP="00040EFE">
            <w:pPr>
              <w:jc w:val="center"/>
              <w:rPr>
                <w:b/>
                <w:bCs/>
                <w:sz w:val="28"/>
                <w:szCs w:val="28"/>
              </w:rPr>
            </w:pPr>
          </w:p>
        </w:tc>
      </w:tr>
      <w:tr w:rsidR="001A1143" w14:paraId="0C6EAB90" w14:textId="77777777" w:rsidTr="004F73D6">
        <w:trPr>
          <w:trHeight w:val="328"/>
          <w:tblHeader/>
        </w:trPr>
        <w:tc>
          <w:tcPr>
            <w:tcW w:w="5597" w:type="dxa"/>
          </w:tcPr>
          <w:p w14:paraId="0CB86DD6" w14:textId="77777777" w:rsidR="001A1143" w:rsidRPr="00B65708" w:rsidRDefault="001A1143" w:rsidP="001A1143">
            <w:pPr>
              <w:jc w:val="both"/>
              <w:rPr>
                <w:rFonts w:ascii="Arial" w:hAnsi="Arial" w:cs="Arial"/>
                <w:color w:val="000000" w:themeColor="text1"/>
                <w:sz w:val="24"/>
                <w:szCs w:val="24"/>
              </w:rPr>
            </w:pPr>
            <w:r w:rsidRPr="00B65708">
              <w:rPr>
                <w:rFonts w:ascii="Arial" w:hAnsi="Arial" w:cs="Arial"/>
                <w:b/>
                <w:bCs/>
                <w:color w:val="000000" w:themeColor="text1"/>
                <w:sz w:val="24"/>
                <w:szCs w:val="24"/>
              </w:rPr>
              <w:t>Section 4.  Responsibilities of the RPSCT.</w:t>
            </w:r>
            <w:r w:rsidRPr="00B65708">
              <w:rPr>
                <w:rFonts w:ascii="Arial" w:hAnsi="Arial" w:cs="Arial"/>
                <w:color w:val="000000" w:themeColor="text1"/>
                <w:sz w:val="24"/>
                <w:szCs w:val="24"/>
              </w:rPr>
              <w:t xml:space="preserve">  To ensure that the objectives of the RE Act are achieved in meeting the target of RE share in the country’s generation mix expressed in Megawatt-Hour (MWh) of at least 35% and 50% by 2030 and 2050, respectively, the RPSCT shall:</w:t>
            </w:r>
          </w:p>
          <w:p w14:paraId="3DA37496" w14:textId="77777777" w:rsidR="001A1143" w:rsidRPr="00B65708" w:rsidRDefault="001A1143" w:rsidP="00CD3C48">
            <w:pPr>
              <w:jc w:val="both"/>
              <w:rPr>
                <w:rFonts w:ascii="Arial" w:hAnsi="Arial" w:cs="Arial"/>
                <w:b/>
                <w:bCs/>
                <w:color w:val="000000" w:themeColor="text1"/>
                <w:sz w:val="24"/>
                <w:szCs w:val="24"/>
              </w:rPr>
            </w:pPr>
          </w:p>
        </w:tc>
        <w:tc>
          <w:tcPr>
            <w:tcW w:w="4428" w:type="dxa"/>
          </w:tcPr>
          <w:p w14:paraId="42BC6CB8" w14:textId="77777777" w:rsidR="001A1143" w:rsidRPr="00040EFE" w:rsidRDefault="001A1143" w:rsidP="00040EFE">
            <w:pPr>
              <w:jc w:val="center"/>
              <w:rPr>
                <w:b/>
                <w:bCs/>
                <w:sz w:val="28"/>
                <w:szCs w:val="28"/>
              </w:rPr>
            </w:pPr>
          </w:p>
        </w:tc>
        <w:tc>
          <w:tcPr>
            <w:tcW w:w="4278" w:type="dxa"/>
          </w:tcPr>
          <w:p w14:paraId="51A39A98" w14:textId="77777777" w:rsidR="001A1143" w:rsidRPr="00040EFE" w:rsidRDefault="001A1143" w:rsidP="00040EFE">
            <w:pPr>
              <w:jc w:val="center"/>
              <w:rPr>
                <w:b/>
                <w:bCs/>
                <w:sz w:val="28"/>
                <w:szCs w:val="28"/>
              </w:rPr>
            </w:pPr>
          </w:p>
        </w:tc>
      </w:tr>
      <w:tr w:rsidR="001A1143" w14:paraId="6176DA75" w14:textId="77777777" w:rsidTr="004F73D6">
        <w:trPr>
          <w:trHeight w:val="328"/>
          <w:tblHeader/>
        </w:trPr>
        <w:tc>
          <w:tcPr>
            <w:tcW w:w="5597" w:type="dxa"/>
          </w:tcPr>
          <w:p w14:paraId="11481522" w14:textId="77777777" w:rsidR="009915AB" w:rsidRPr="00B65708" w:rsidRDefault="009915AB" w:rsidP="009915AB">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rPr>
                <w:rFonts w:ascii="Arial" w:hAnsi="Arial" w:cs="Arial"/>
                <w:color w:val="000000" w:themeColor="text1"/>
              </w:rPr>
            </w:pPr>
            <w:r w:rsidRPr="00B65708">
              <w:rPr>
                <w:rFonts w:ascii="Arial" w:hAnsi="Arial" w:cs="Arial"/>
                <w:color w:val="000000" w:themeColor="text1"/>
              </w:rPr>
              <w:t xml:space="preserve">Enjoin all REM Participants to comply with their obligations pursuant to Chapter 2.5, titled “Responsibilities of REM Members” of the REM </w:t>
            </w:r>
            <w:proofErr w:type="gramStart"/>
            <w:r w:rsidRPr="00B65708">
              <w:rPr>
                <w:rFonts w:ascii="Arial" w:hAnsi="Arial" w:cs="Arial"/>
                <w:color w:val="000000" w:themeColor="text1"/>
              </w:rPr>
              <w:t>Rules;</w:t>
            </w:r>
            <w:proofErr w:type="gramEnd"/>
          </w:p>
          <w:p w14:paraId="155F7FC9" w14:textId="77777777" w:rsidR="009915AB" w:rsidRPr="00B65708" w:rsidRDefault="009915AB" w:rsidP="009915AB">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rPr>
                <w:rFonts w:ascii="Arial" w:hAnsi="Arial" w:cs="Arial"/>
                <w:color w:val="000000" w:themeColor="text1"/>
              </w:rPr>
            </w:pPr>
            <w:r w:rsidRPr="00B65708">
              <w:rPr>
                <w:rFonts w:ascii="Arial" w:hAnsi="Arial" w:cs="Arial"/>
                <w:color w:val="000000" w:themeColor="text1"/>
              </w:rPr>
              <w:t xml:space="preserve">Assess for possible approval of any proposed changes to the REM Rules in establishing a competitive, efficient, and transparent REM while ensuring a level playing field for all REM </w:t>
            </w:r>
            <w:proofErr w:type="gramStart"/>
            <w:r w:rsidRPr="00B65708">
              <w:rPr>
                <w:rFonts w:ascii="Arial" w:hAnsi="Arial" w:cs="Arial"/>
                <w:color w:val="000000" w:themeColor="text1"/>
              </w:rPr>
              <w:t>Participants;</w:t>
            </w:r>
            <w:proofErr w:type="gramEnd"/>
          </w:p>
          <w:p w14:paraId="0BB611F9" w14:textId="77777777" w:rsidR="009915AB" w:rsidRPr="00B65708" w:rsidRDefault="009915AB" w:rsidP="009915AB">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rPr>
                <w:rFonts w:ascii="Arial" w:hAnsi="Arial" w:cs="Arial"/>
                <w:color w:val="000000" w:themeColor="text1"/>
              </w:rPr>
            </w:pPr>
            <w:r w:rsidRPr="00B65708">
              <w:rPr>
                <w:rFonts w:ascii="Arial" w:hAnsi="Arial" w:cs="Arial"/>
                <w:color w:val="000000" w:themeColor="text1"/>
              </w:rPr>
              <w:t xml:space="preserve">Ensure that policies are in place for the availability of generation from eligible RE plants for RPS compliance of REM </w:t>
            </w:r>
            <w:proofErr w:type="gramStart"/>
            <w:r w:rsidRPr="00B65708">
              <w:rPr>
                <w:rFonts w:ascii="Arial" w:hAnsi="Arial" w:cs="Arial"/>
                <w:color w:val="000000" w:themeColor="text1"/>
              </w:rPr>
              <w:t>Participants;</w:t>
            </w:r>
            <w:proofErr w:type="gramEnd"/>
          </w:p>
          <w:p w14:paraId="62DC29AA" w14:textId="77777777" w:rsidR="009915AB" w:rsidRPr="00B65708" w:rsidRDefault="009915AB" w:rsidP="009915AB">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rPr>
                <w:rFonts w:ascii="Arial" w:hAnsi="Arial" w:cs="Arial"/>
                <w:color w:val="000000" w:themeColor="text1"/>
              </w:rPr>
            </w:pPr>
            <w:r w:rsidRPr="00B65708">
              <w:rPr>
                <w:rFonts w:ascii="Arial" w:hAnsi="Arial" w:cs="Arial"/>
                <w:color w:val="000000" w:themeColor="text1"/>
              </w:rPr>
              <w:t>Prescribe the minimum annual incremental RE share (K</w:t>
            </w:r>
            <w:r w:rsidRPr="00B65708">
              <w:rPr>
                <w:rFonts w:ascii="Arial" w:hAnsi="Arial" w:cs="Arial"/>
                <w:color w:val="000000" w:themeColor="text1"/>
                <w:vertAlign w:val="subscript"/>
              </w:rPr>
              <w:t>m</w:t>
            </w:r>
            <w:r w:rsidRPr="00B65708">
              <w:rPr>
                <w:rFonts w:ascii="Arial" w:hAnsi="Arial" w:cs="Arial"/>
                <w:color w:val="000000" w:themeColor="text1"/>
              </w:rPr>
              <w:t xml:space="preserve">) as a parameter in determining the required volume of RECs from a Mandated Participant in a given compliance </w:t>
            </w:r>
            <w:proofErr w:type="gramStart"/>
            <w:r w:rsidRPr="00B65708">
              <w:rPr>
                <w:rFonts w:ascii="Arial" w:hAnsi="Arial" w:cs="Arial"/>
                <w:color w:val="000000" w:themeColor="text1"/>
              </w:rPr>
              <w:t>year;</w:t>
            </w:r>
            <w:proofErr w:type="gramEnd"/>
          </w:p>
          <w:p w14:paraId="33373F0B" w14:textId="77777777" w:rsidR="009915AB" w:rsidRPr="00B65708" w:rsidRDefault="009915AB" w:rsidP="009915AB">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rPr>
                <w:rFonts w:ascii="Arial" w:hAnsi="Arial" w:cs="Arial"/>
                <w:color w:val="000000" w:themeColor="text1"/>
              </w:rPr>
            </w:pPr>
            <w:r w:rsidRPr="00B65708">
              <w:rPr>
                <w:rFonts w:ascii="Arial" w:hAnsi="Arial" w:cs="Arial"/>
                <w:color w:val="000000" w:themeColor="text1"/>
              </w:rPr>
              <w:t>Prepare and submit a Compliance Report of Mandated Participants to the DOE Secretary, ERC, and the National Renewable Energy Board (NREB</w:t>
            </w:r>
            <w:proofErr w:type="gramStart"/>
            <w:r w:rsidRPr="00B65708">
              <w:rPr>
                <w:rFonts w:ascii="Arial" w:hAnsi="Arial" w:cs="Arial"/>
                <w:color w:val="000000" w:themeColor="text1"/>
              </w:rPr>
              <w:t>);</w:t>
            </w:r>
            <w:proofErr w:type="gramEnd"/>
            <w:r w:rsidRPr="00B65708">
              <w:rPr>
                <w:rFonts w:ascii="Arial" w:hAnsi="Arial" w:cs="Arial"/>
                <w:color w:val="000000" w:themeColor="text1"/>
              </w:rPr>
              <w:t xml:space="preserve"> </w:t>
            </w:r>
          </w:p>
          <w:p w14:paraId="697A4C21" w14:textId="77777777" w:rsidR="009915AB" w:rsidRPr="00B65708" w:rsidRDefault="009915AB" w:rsidP="009915AB">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rPr>
                <w:rFonts w:ascii="Arial" w:hAnsi="Arial" w:cs="Arial"/>
                <w:color w:val="000000" w:themeColor="text1"/>
              </w:rPr>
            </w:pPr>
            <w:r w:rsidRPr="00B65708">
              <w:rPr>
                <w:rFonts w:ascii="Arial" w:hAnsi="Arial" w:cs="Arial"/>
                <w:color w:val="000000" w:themeColor="text1"/>
              </w:rPr>
              <w:t>Establish the procedure and criteria for evaluating compliance by Mandated Participants including requests for carry-over of RPS compliance and violations under the Department Circular DC No.</w:t>
            </w:r>
            <w:r w:rsidRPr="004007E8">
              <w:rPr>
                <w:rFonts w:ascii="Arial" w:hAnsi="Arial" w:cs="Arial"/>
                <w:color w:val="000000" w:themeColor="text1"/>
                <w:u w:val="single"/>
              </w:rPr>
              <w:t xml:space="preserve"> </w:t>
            </w:r>
            <w:r w:rsidRPr="00B65708">
              <w:rPr>
                <w:rFonts w:ascii="Arial" w:hAnsi="Arial" w:cs="Arial"/>
                <w:color w:val="000000" w:themeColor="text1"/>
                <w:u w:val="single"/>
              </w:rPr>
              <w:t>______</w:t>
            </w:r>
            <w:r>
              <w:rPr>
                <w:rFonts w:ascii="Arial" w:hAnsi="Arial" w:cs="Arial"/>
                <w:color w:val="000000" w:themeColor="text1"/>
                <w:u w:val="single"/>
              </w:rPr>
              <w:t>___</w:t>
            </w:r>
            <w:r w:rsidRPr="00B65708">
              <w:rPr>
                <w:rFonts w:ascii="Arial" w:hAnsi="Arial" w:cs="Arial"/>
                <w:color w:val="000000" w:themeColor="text1"/>
                <w:u w:val="single"/>
              </w:rPr>
              <w:t>__</w:t>
            </w:r>
            <w:r w:rsidRPr="00B65708">
              <w:rPr>
                <w:rFonts w:ascii="Arial" w:hAnsi="Arial" w:cs="Arial"/>
                <w:color w:val="000000" w:themeColor="text1"/>
              </w:rPr>
              <w:t>, “The Rules and Regulations on Administrative Actions for Violations of the RPS Rules.”</w:t>
            </w:r>
          </w:p>
          <w:p w14:paraId="6FEA7CC2" w14:textId="77777777" w:rsidR="001A1143" w:rsidRPr="009915AB" w:rsidRDefault="001A1143" w:rsidP="001A1143">
            <w:pPr>
              <w:jc w:val="both"/>
              <w:rPr>
                <w:rFonts w:ascii="Arial" w:hAnsi="Arial" w:cs="Arial"/>
                <w:b/>
                <w:bCs/>
                <w:color w:val="000000" w:themeColor="text1"/>
                <w:sz w:val="24"/>
                <w:szCs w:val="24"/>
                <w:lang w:val="en-US"/>
              </w:rPr>
            </w:pPr>
          </w:p>
        </w:tc>
        <w:tc>
          <w:tcPr>
            <w:tcW w:w="4428" w:type="dxa"/>
          </w:tcPr>
          <w:p w14:paraId="11C10C06" w14:textId="77777777" w:rsidR="001A1143" w:rsidRPr="00040EFE" w:rsidRDefault="001A1143" w:rsidP="00040EFE">
            <w:pPr>
              <w:jc w:val="center"/>
              <w:rPr>
                <w:b/>
                <w:bCs/>
                <w:sz w:val="28"/>
                <w:szCs w:val="28"/>
              </w:rPr>
            </w:pPr>
          </w:p>
        </w:tc>
        <w:tc>
          <w:tcPr>
            <w:tcW w:w="4278" w:type="dxa"/>
          </w:tcPr>
          <w:p w14:paraId="35F70B3C" w14:textId="77777777" w:rsidR="001A1143" w:rsidRPr="00040EFE" w:rsidRDefault="001A1143" w:rsidP="00040EFE">
            <w:pPr>
              <w:jc w:val="center"/>
              <w:rPr>
                <w:b/>
                <w:bCs/>
                <w:sz w:val="28"/>
                <w:szCs w:val="28"/>
              </w:rPr>
            </w:pPr>
          </w:p>
        </w:tc>
      </w:tr>
      <w:tr w:rsidR="009915AB" w14:paraId="5AB542F0" w14:textId="77777777" w:rsidTr="004F73D6">
        <w:trPr>
          <w:trHeight w:val="328"/>
          <w:tblHeader/>
        </w:trPr>
        <w:tc>
          <w:tcPr>
            <w:tcW w:w="5597" w:type="dxa"/>
          </w:tcPr>
          <w:p w14:paraId="2B548553" w14:textId="77777777" w:rsidR="005976E3" w:rsidRPr="00B65708" w:rsidRDefault="005976E3" w:rsidP="005976E3">
            <w:pPr>
              <w:jc w:val="both"/>
              <w:rPr>
                <w:rFonts w:ascii="Arial" w:hAnsi="Arial" w:cs="Arial"/>
                <w:color w:val="000000" w:themeColor="text1"/>
                <w:sz w:val="24"/>
                <w:szCs w:val="24"/>
              </w:rPr>
            </w:pPr>
            <w:r w:rsidRPr="00B65708">
              <w:rPr>
                <w:rFonts w:ascii="Arial" w:hAnsi="Arial" w:cs="Arial"/>
                <w:b/>
                <w:bCs/>
                <w:color w:val="000000" w:themeColor="text1"/>
                <w:sz w:val="24"/>
                <w:szCs w:val="24"/>
              </w:rPr>
              <w:t>Section 5. Responsibilities of the RER.</w:t>
            </w:r>
            <w:r w:rsidRPr="00B65708">
              <w:rPr>
                <w:rFonts w:ascii="Arial" w:hAnsi="Arial" w:cs="Arial"/>
                <w:color w:val="000000" w:themeColor="text1"/>
                <w:sz w:val="24"/>
                <w:szCs w:val="24"/>
              </w:rPr>
              <w:t xml:space="preserve">  The RER, under the supervision of the DOE, shall perform the following functions, among others, pursuant to the REM Rules:</w:t>
            </w:r>
          </w:p>
          <w:p w14:paraId="648B9E36" w14:textId="77777777" w:rsidR="005976E3" w:rsidRPr="00B65708" w:rsidRDefault="005976E3" w:rsidP="005976E3">
            <w:pPr>
              <w:jc w:val="both"/>
              <w:rPr>
                <w:rFonts w:ascii="Arial" w:hAnsi="Arial" w:cs="Arial"/>
                <w:color w:val="000000" w:themeColor="text1"/>
                <w:sz w:val="24"/>
                <w:szCs w:val="24"/>
              </w:rPr>
            </w:pPr>
          </w:p>
          <w:p w14:paraId="5B416E62" w14:textId="77777777" w:rsidR="005976E3" w:rsidRPr="00B65708" w:rsidRDefault="005976E3" w:rsidP="005976E3">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rPr>
                <w:rFonts w:ascii="Arial" w:hAnsi="Arial" w:cs="Arial"/>
                <w:color w:val="000000" w:themeColor="text1"/>
              </w:rPr>
            </w:pPr>
            <w:r w:rsidRPr="00B65708">
              <w:rPr>
                <w:rFonts w:ascii="Arial" w:hAnsi="Arial" w:cs="Arial"/>
                <w:color w:val="000000" w:themeColor="text1"/>
              </w:rPr>
              <w:t xml:space="preserve">Maintain and publish an updated list of registered REM Members, indicating the categories in which they are registered and their membership status as well as the status of pending </w:t>
            </w:r>
            <w:proofErr w:type="gramStart"/>
            <w:r w:rsidRPr="00B65708">
              <w:rPr>
                <w:rFonts w:ascii="Arial" w:hAnsi="Arial" w:cs="Arial"/>
                <w:color w:val="000000" w:themeColor="text1"/>
              </w:rPr>
              <w:t>applications;</w:t>
            </w:r>
            <w:proofErr w:type="gramEnd"/>
          </w:p>
          <w:p w14:paraId="78348D99" w14:textId="77777777" w:rsidR="005976E3" w:rsidRPr="00B65708" w:rsidRDefault="005976E3" w:rsidP="005976E3">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rPr>
                <w:rFonts w:ascii="Arial" w:hAnsi="Arial" w:cs="Arial"/>
                <w:color w:val="000000" w:themeColor="text1"/>
              </w:rPr>
            </w:pPr>
            <w:r w:rsidRPr="00B65708">
              <w:rPr>
                <w:rFonts w:ascii="Arial" w:hAnsi="Arial" w:cs="Arial"/>
                <w:color w:val="000000" w:themeColor="text1"/>
              </w:rPr>
              <w:t xml:space="preserve">Conduct REM awareness activities including but not limited to: (i) facilitate REM and PREMS trainings and lectures for the benefit of REM Participants, electricity end-users and/or other stakeholders; and (ii) publish online materials for REM and PREMS on the Market Information Website for the </w:t>
            </w:r>
            <w:proofErr w:type="gramStart"/>
            <w:r w:rsidRPr="00B65708">
              <w:rPr>
                <w:rFonts w:ascii="Arial" w:hAnsi="Arial" w:cs="Arial"/>
                <w:color w:val="000000" w:themeColor="text1"/>
              </w:rPr>
              <w:t>REM;</w:t>
            </w:r>
            <w:proofErr w:type="gramEnd"/>
          </w:p>
          <w:p w14:paraId="13292B48" w14:textId="77777777" w:rsidR="005976E3" w:rsidRPr="00B65708" w:rsidRDefault="005976E3" w:rsidP="005976E3">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rPr>
                <w:rFonts w:ascii="Arial" w:hAnsi="Arial" w:cs="Arial"/>
                <w:color w:val="000000" w:themeColor="text1"/>
              </w:rPr>
            </w:pPr>
            <w:r w:rsidRPr="00B65708">
              <w:rPr>
                <w:rFonts w:ascii="Arial" w:hAnsi="Arial" w:cs="Arial"/>
                <w:color w:val="000000" w:themeColor="text1"/>
              </w:rPr>
              <w:t xml:space="preserve">Calculate, issue, and monitor the volume of RECs corresponding to actual metered generation of RE plants eligible for RPS </w:t>
            </w:r>
            <w:proofErr w:type="gramStart"/>
            <w:r w:rsidRPr="00B65708">
              <w:rPr>
                <w:rFonts w:ascii="Arial" w:hAnsi="Arial" w:cs="Arial"/>
                <w:color w:val="000000" w:themeColor="text1"/>
              </w:rPr>
              <w:t>compliance;</w:t>
            </w:r>
            <w:proofErr w:type="gramEnd"/>
          </w:p>
          <w:p w14:paraId="2D6E3702" w14:textId="77777777" w:rsidR="005976E3" w:rsidRPr="00B65708" w:rsidRDefault="005976E3" w:rsidP="005976E3">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rPr>
                <w:rFonts w:ascii="Arial" w:hAnsi="Arial" w:cs="Arial"/>
                <w:color w:val="000000" w:themeColor="text1"/>
              </w:rPr>
            </w:pPr>
            <w:r w:rsidRPr="00B65708">
              <w:rPr>
                <w:rFonts w:ascii="Arial" w:hAnsi="Arial" w:cs="Arial"/>
                <w:color w:val="000000" w:themeColor="text1"/>
              </w:rPr>
              <w:t xml:space="preserve">Determine the REC Shortfall level for a given compliance period as the difference between the total RECs surrendered by a Mandated Participant vis-à-vis the annual RPS </w:t>
            </w:r>
            <w:proofErr w:type="gramStart"/>
            <w:r w:rsidRPr="00B65708">
              <w:rPr>
                <w:rFonts w:ascii="Arial" w:hAnsi="Arial" w:cs="Arial"/>
                <w:color w:val="000000" w:themeColor="text1"/>
              </w:rPr>
              <w:t>obligation;</w:t>
            </w:r>
            <w:proofErr w:type="gramEnd"/>
          </w:p>
          <w:p w14:paraId="784116FF" w14:textId="77777777" w:rsidR="005976E3" w:rsidRPr="00B65708" w:rsidRDefault="005976E3" w:rsidP="005976E3">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rPr>
                <w:rFonts w:ascii="Arial" w:hAnsi="Arial" w:cs="Arial"/>
                <w:color w:val="000000" w:themeColor="text1"/>
              </w:rPr>
            </w:pPr>
            <w:r w:rsidRPr="00B65708">
              <w:rPr>
                <w:rFonts w:ascii="Arial" w:hAnsi="Arial" w:cs="Arial"/>
                <w:color w:val="000000" w:themeColor="text1"/>
              </w:rPr>
              <w:t>Prepare and submit an Annual REC Report every March of each year starting the commencement of the REM-COP and every year thereafter, containing but not limited to the following information: compliance level of each Mandated Participant; total volume of RECs generated; and total REC shortfall or excess, if any; and</w:t>
            </w:r>
          </w:p>
          <w:p w14:paraId="741C3B94" w14:textId="77777777" w:rsidR="005976E3" w:rsidRPr="00B65708" w:rsidRDefault="005976E3" w:rsidP="005976E3">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rPr>
                <w:rFonts w:ascii="Arial" w:hAnsi="Arial" w:cs="Arial"/>
                <w:color w:val="000000" w:themeColor="text1"/>
              </w:rPr>
            </w:pPr>
            <w:r w:rsidRPr="00B65708">
              <w:rPr>
                <w:rFonts w:ascii="Arial" w:hAnsi="Arial" w:cs="Arial"/>
                <w:color w:val="000000" w:themeColor="text1"/>
              </w:rPr>
              <w:t xml:space="preserve">Propose, through the REM Governance Committee (RGC), any changes to the REM Rules to ensure a competitive, efficient, and transparent market for the trading of </w:t>
            </w:r>
            <w:proofErr w:type="spellStart"/>
            <w:r w:rsidRPr="00B65708">
              <w:rPr>
                <w:rFonts w:ascii="Arial" w:hAnsi="Arial" w:cs="Arial"/>
                <w:color w:val="000000" w:themeColor="text1"/>
              </w:rPr>
              <w:t>RECs.</w:t>
            </w:r>
            <w:proofErr w:type="spellEnd"/>
          </w:p>
          <w:p w14:paraId="5F5C0034" w14:textId="77777777" w:rsidR="009915AB" w:rsidRPr="005976E3" w:rsidRDefault="009915AB" w:rsidP="009915AB">
            <w:pPr>
              <w:contextualSpacing/>
              <w:jc w:val="both"/>
              <w:rPr>
                <w:rFonts w:ascii="Arial" w:hAnsi="Arial" w:cs="Arial"/>
                <w:color w:val="000000" w:themeColor="text1"/>
                <w:lang w:val="en-US"/>
              </w:rPr>
            </w:pPr>
          </w:p>
        </w:tc>
        <w:tc>
          <w:tcPr>
            <w:tcW w:w="4428" w:type="dxa"/>
          </w:tcPr>
          <w:p w14:paraId="6780B3A3" w14:textId="77777777" w:rsidR="009915AB" w:rsidRPr="00040EFE" w:rsidRDefault="009915AB" w:rsidP="00040EFE">
            <w:pPr>
              <w:jc w:val="center"/>
              <w:rPr>
                <w:b/>
                <w:bCs/>
                <w:sz w:val="28"/>
                <w:szCs w:val="28"/>
              </w:rPr>
            </w:pPr>
          </w:p>
        </w:tc>
        <w:tc>
          <w:tcPr>
            <w:tcW w:w="4278" w:type="dxa"/>
          </w:tcPr>
          <w:p w14:paraId="4F7871DE" w14:textId="77777777" w:rsidR="009915AB" w:rsidRPr="00040EFE" w:rsidRDefault="009915AB" w:rsidP="00040EFE">
            <w:pPr>
              <w:jc w:val="center"/>
              <w:rPr>
                <w:b/>
                <w:bCs/>
                <w:sz w:val="28"/>
                <w:szCs w:val="28"/>
              </w:rPr>
            </w:pPr>
          </w:p>
        </w:tc>
      </w:tr>
      <w:tr w:rsidR="008E351A" w14:paraId="4408E57D" w14:textId="77777777" w:rsidTr="004F73D6">
        <w:trPr>
          <w:trHeight w:val="328"/>
          <w:tblHeader/>
        </w:trPr>
        <w:tc>
          <w:tcPr>
            <w:tcW w:w="5597" w:type="dxa"/>
          </w:tcPr>
          <w:p w14:paraId="2458B3E5" w14:textId="77777777" w:rsidR="008E351A" w:rsidRPr="00B65708" w:rsidRDefault="008E351A" w:rsidP="008E351A">
            <w:pPr>
              <w:jc w:val="both"/>
              <w:rPr>
                <w:rFonts w:ascii="Arial" w:hAnsi="Arial" w:cs="Arial"/>
                <w:color w:val="000000" w:themeColor="text1"/>
                <w:sz w:val="24"/>
                <w:szCs w:val="24"/>
              </w:rPr>
            </w:pPr>
            <w:r w:rsidRPr="00B65708">
              <w:rPr>
                <w:rFonts w:ascii="Arial" w:hAnsi="Arial" w:cs="Arial"/>
                <w:b/>
                <w:bCs/>
                <w:color w:val="000000" w:themeColor="text1"/>
                <w:sz w:val="24"/>
                <w:szCs w:val="24"/>
              </w:rPr>
              <w:t>Section 6. Transition Period.</w:t>
            </w:r>
            <w:r w:rsidRPr="00B65708">
              <w:rPr>
                <w:rFonts w:ascii="Arial" w:hAnsi="Arial" w:cs="Arial"/>
                <w:color w:val="000000" w:themeColor="text1"/>
                <w:sz w:val="24"/>
                <w:szCs w:val="24"/>
              </w:rPr>
              <w:t xml:space="preserve">  PEMC shall remain responsible for the issuance, monitoring, and verification of RECs corresponding to actual energy generation of RE plants eligible for RPS compliance, for the operationalization of the REM, until the transfer of the RER functions from PEMC to IEMOP is completed.  For the sake of clarity, PEMC shall continue performing its RER functions under Section 5 of this Circular and the REM Rules until the Department has designated and declared IEMOP as the RE Registrar.</w:t>
            </w:r>
          </w:p>
          <w:p w14:paraId="5396845E" w14:textId="77777777" w:rsidR="008E351A" w:rsidRPr="00B65708" w:rsidRDefault="008E351A" w:rsidP="005976E3">
            <w:pPr>
              <w:jc w:val="both"/>
              <w:rPr>
                <w:rFonts w:ascii="Arial" w:hAnsi="Arial" w:cs="Arial"/>
                <w:b/>
                <w:bCs/>
                <w:color w:val="000000" w:themeColor="text1"/>
                <w:sz w:val="24"/>
                <w:szCs w:val="24"/>
              </w:rPr>
            </w:pPr>
          </w:p>
        </w:tc>
        <w:tc>
          <w:tcPr>
            <w:tcW w:w="4428" w:type="dxa"/>
          </w:tcPr>
          <w:p w14:paraId="5060E2A3" w14:textId="77777777" w:rsidR="008E351A" w:rsidRPr="00040EFE" w:rsidRDefault="008E351A" w:rsidP="00040EFE">
            <w:pPr>
              <w:jc w:val="center"/>
              <w:rPr>
                <w:b/>
                <w:bCs/>
                <w:sz w:val="28"/>
                <w:szCs w:val="28"/>
              </w:rPr>
            </w:pPr>
          </w:p>
        </w:tc>
        <w:tc>
          <w:tcPr>
            <w:tcW w:w="4278" w:type="dxa"/>
          </w:tcPr>
          <w:p w14:paraId="2FE374E9" w14:textId="77777777" w:rsidR="008E351A" w:rsidRPr="00040EFE" w:rsidRDefault="008E351A" w:rsidP="00040EFE">
            <w:pPr>
              <w:jc w:val="center"/>
              <w:rPr>
                <w:b/>
                <w:bCs/>
                <w:sz w:val="28"/>
                <w:szCs w:val="28"/>
              </w:rPr>
            </w:pPr>
          </w:p>
        </w:tc>
      </w:tr>
      <w:tr w:rsidR="008E351A" w14:paraId="79AFEC10" w14:textId="77777777" w:rsidTr="004F73D6">
        <w:trPr>
          <w:trHeight w:val="328"/>
          <w:tblHeader/>
        </w:trPr>
        <w:tc>
          <w:tcPr>
            <w:tcW w:w="5597" w:type="dxa"/>
          </w:tcPr>
          <w:p w14:paraId="7A72345B" w14:textId="77777777" w:rsidR="002C0BAC" w:rsidRPr="00B65708" w:rsidRDefault="002C0BAC" w:rsidP="002C0BAC">
            <w:pPr>
              <w:pStyle w:val="NoSpacing"/>
              <w:jc w:val="both"/>
              <w:rPr>
                <w:rFonts w:ascii="Arial" w:hAnsi="Arial" w:cs="Arial"/>
                <w:b/>
                <w:bCs/>
                <w:color w:val="000000" w:themeColor="text1"/>
              </w:rPr>
            </w:pPr>
            <w:r w:rsidRPr="00B65708">
              <w:rPr>
                <w:rFonts w:ascii="Arial" w:hAnsi="Arial" w:cs="Arial"/>
                <w:b/>
                <w:color w:val="000000" w:themeColor="text1"/>
              </w:rPr>
              <w:t>Section</w:t>
            </w:r>
            <w:r w:rsidRPr="00B65708">
              <w:rPr>
                <w:rFonts w:ascii="Arial" w:hAnsi="Arial" w:cs="Arial"/>
                <w:b/>
                <w:color w:val="000000" w:themeColor="text1"/>
                <w:spacing w:val="1"/>
              </w:rPr>
              <w:t xml:space="preserve"> </w:t>
            </w:r>
            <w:r w:rsidRPr="00B65708">
              <w:rPr>
                <w:rFonts w:ascii="Arial" w:hAnsi="Arial" w:cs="Arial"/>
                <w:b/>
                <w:color w:val="000000" w:themeColor="text1"/>
              </w:rPr>
              <w:t>7</w:t>
            </w:r>
            <w:r w:rsidRPr="00B65708">
              <w:rPr>
                <w:rFonts w:ascii="Arial" w:hAnsi="Arial" w:cs="Arial"/>
                <w:color w:val="000000" w:themeColor="text1"/>
              </w:rPr>
              <w:t>.</w:t>
            </w:r>
            <w:r w:rsidRPr="00B65708">
              <w:rPr>
                <w:rFonts w:ascii="Arial" w:hAnsi="Arial" w:cs="Arial"/>
                <w:color w:val="000000" w:themeColor="text1"/>
                <w:spacing w:val="1"/>
              </w:rPr>
              <w:t xml:space="preserve"> </w:t>
            </w:r>
            <w:r w:rsidRPr="00B65708">
              <w:rPr>
                <w:rFonts w:ascii="Arial" w:hAnsi="Arial" w:cs="Arial"/>
                <w:b/>
                <w:iCs/>
                <w:color w:val="000000" w:themeColor="text1"/>
              </w:rPr>
              <w:t>Information,</w:t>
            </w:r>
            <w:r w:rsidRPr="00B65708">
              <w:rPr>
                <w:rFonts w:ascii="Arial" w:hAnsi="Arial" w:cs="Arial"/>
                <w:b/>
                <w:iCs/>
                <w:color w:val="000000" w:themeColor="text1"/>
                <w:spacing w:val="1"/>
              </w:rPr>
              <w:t xml:space="preserve"> </w:t>
            </w:r>
            <w:r w:rsidRPr="00B65708">
              <w:rPr>
                <w:rFonts w:ascii="Arial" w:hAnsi="Arial" w:cs="Arial"/>
                <w:b/>
                <w:iCs/>
                <w:color w:val="000000" w:themeColor="text1"/>
              </w:rPr>
              <w:t>Education</w:t>
            </w:r>
            <w:r w:rsidRPr="00B65708">
              <w:rPr>
                <w:rFonts w:ascii="Arial" w:hAnsi="Arial" w:cs="Arial"/>
                <w:b/>
                <w:iCs/>
                <w:color w:val="000000" w:themeColor="text1"/>
                <w:spacing w:val="1"/>
              </w:rPr>
              <w:t xml:space="preserve"> </w:t>
            </w:r>
            <w:r w:rsidRPr="00B65708">
              <w:rPr>
                <w:rFonts w:ascii="Arial" w:hAnsi="Arial" w:cs="Arial"/>
                <w:b/>
                <w:iCs/>
                <w:color w:val="000000" w:themeColor="text1"/>
              </w:rPr>
              <w:t>and</w:t>
            </w:r>
            <w:r w:rsidRPr="00B65708">
              <w:rPr>
                <w:rFonts w:ascii="Arial" w:hAnsi="Arial" w:cs="Arial"/>
                <w:b/>
                <w:iCs/>
                <w:color w:val="000000" w:themeColor="text1"/>
                <w:spacing w:val="1"/>
              </w:rPr>
              <w:t xml:space="preserve"> </w:t>
            </w:r>
            <w:r w:rsidRPr="00B65708">
              <w:rPr>
                <w:rFonts w:ascii="Arial" w:hAnsi="Arial" w:cs="Arial"/>
                <w:b/>
                <w:iCs/>
                <w:color w:val="000000" w:themeColor="text1"/>
              </w:rPr>
              <w:t>Communication</w:t>
            </w:r>
            <w:r w:rsidRPr="00B65708">
              <w:rPr>
                <w:rFonts w:ascii="Arial" w:hAnsi="Arial" w:cs="Arial"/>
                <w:b/>
                <w:iCs/>
                <w:color w:val="000000" w:themeColor="text1"/>
                <w:spacing w:val="1"/>
              </w:rPr>
              <w:t xml:space="preserve"> </w:t>
            </w:r>
            <w:r w:rsidRPr="00B65708">
              <w:rPr>
                <w:rFonts w:ascii="Arial" w:hAnsi="Arial" w:cs="Arial"/>
                <w:b/>
                <w:iCs/>
                <w:color w:val="000000" w:themeColor="text1"/>
              </w:rPr>
              <w:t>(IEC)</w:t>
            </w:r>
            <w:r w:rsidRPr="00B65708">
              <w:rPr>
                <w:rFonts w:ascii="Arial" w:hAnsi="Arial" w:cs="Arial"/>
                <w:b/>
                <w:iCs/>
                <w:color w:val="000000" w:themeColor="text1"/>
                <w:spacing w:val="1"/>
              </w:rPr>
              <w:t xml:space="preserve"> </w:t>
            </w:r>
            <w:r w:rsidRPr="00B65708">
              <w:rPr>
                <w:rFonts w:ascii="Arial" w:hAnsi="Arial" w:cs="Arial"/>
                <w:b/>
                <w:iCs/>
                <w:color w:val="000000" w:themeColor="text1"/>
              </w:rPr>
              <w:t>Activities</w:t>
            </w:r>
            <w:r w:rsidRPr="00B65708">
              <w:rPr>
                <w:rFonts w:ascii="Arial" w:hAnsi="Arial" w:cs="Arial"/>
                <w:iCs/>
                <w:color w:val="000000" w:themeColor="text1"/>
              </w:rPr>
              <w:t>.</w:t>
            </w:r>
            <w:r w:rsidRPr="00B65708">
              <w:rPr>
                <w:rFonts w:ascii="Arial" w:hAnsi="Arial" w:cs="Arial"/>
                <w:color w:val="000000" w:themeColor="text1"/>
                <w:spacing w:val="1"/>
              </w:rPr>
              <w:t xml:space="preserve"> </w:t>
            </w:r>
            <w:r w:rsidRPr="00B65708">
              <w:rPr>
                <w:rFonts w:ascii="Arial" w:hAnsi="Arial" w:cs="Arial"/>
                <w:color w:val="000000" w:themeColor="text1"/>
              </w:rPr>
              <w:t>Pursuant</w:t>
            </w:r>
            <w:r w:rsidRPr="00B65708">
              <w:rPr>
                <w:rFonts w:ascii="Arial" w:hAnsi="Arial" w:cs="Arial"/>
                <w:color w:val="000000" w:themeColor="text1"/>
                <w:spacing w:val="9"/>
              </w:rPr>
              <w:t xml:space="preserve"> </w:t>
            </w:r>
            <w:r w:rsidRPr="00B65708">
              <w:rPr>
                <w:rFonts w:ascii="Arial" w:hAnsi="Arial" w:cs="Arial"/>
                <w:color w:val="000000" w:themeColor="text1"/>
              </w:rPr>
              <w:t>to</w:t>
            </w:r>
            <w:r w:rsidRPr="00B65708">
              <w:rPr>
                <w:rFonts w:ascii="Arial" w:hAnsi="Arial" w:cs="Arial"/>
                <w:color w:val="000000" w:themeColor="text1"/>
                <w:spacing w:val="10"/>
              </w:rPr>
              <w:t xml:space="preserve"> </w:t>
            </w:r>
            <w:r w:rsidRPr="00B65708">
              <w:rPr>
                <w:rFonts w:ascii="Arial" w:hAnsi="Arial" w:cs="Arial"/>
                <w:color w:val="000000" w:themeColor="text1"/>
              </w:rPr>
              <w:t>Section</w:t>
            </w:r>
            <w:r w:rsidRPr="00B65708">
              <w:rPr>
                <w:rFonts w:ascii="Arial" w:hAnsi="Arial" w:cs="Arial"/>
                <w:color w:val="000000" w:themeColor="text1"/>
                <w:spacing w:val="9"/>
              </w:rPr>
              <w:t xml:space="preserve"> </w:t>
            </w:r>
            <w:r w:rsidRPr="00B65708">
              <w:rPr>
                <w:rFonts w:ascii="Arial" w:hAnsi="Arial" w:cs="Arial"/>
                <w:color w:val="000000" w:themeColor="text1"/>
              </w:rPr>
              <w:t>31</w:t>
            </w:r>
            <w:r w:rsidRPr="00B65708">
              <w:rPr>
                <w:rFonts w:ascii="Arial" w:hAnsi="Arial" w:cs="Arial"/>
                <w:color w:val="000000" w:themeColor="text1"/>
                <w:spacing w:val="10"/>
              </w:rPr>
              <w:t xml:space="preserve"> </w:t>
            </w:r>
            <w:r w:rsidRPr="00B65708">
              <w:rPr>
                <w:rFonts w:ascii="Arial" w:hAnsi="Arial" w:cs="Arial"/>
                <w:color w:val="000000" w:themeColor="text1"/>
              </w:rPr>
              <w:t>of</w:t>
            </w:r>
            <w:r w:rsidRPr="00B65708">
              <w:rPr>
                <w:rFonts w:ascii="Arial" w:hAnsi="Arial" w:cs="Arial"/>
                <w:color w:val="000000" w:themeColor="text1"/>
                <w:spacing w:val="9"/>
              </w:rPr>
              <w:t xml:space="preserve"> </w:t>
            </w:r>
            <w:r w:rsidRPr="00B65708">
              <w:rPr>
                <w:rFonts w:ascii="Arial" w:hAnsi="Arial" w:cs="Arial"/>
                <w:color w:val="000000" w:themeColor="text1"/>
              </w:rPr>
              <w:t>the</w:t>
            </w:r>
            <w:r w:rsidRPr="00B65708">
              <w:rPr>
                <w:rFonts w:ascii="Arial" w:hAnsi="Arial" w:cs="Arial"/>
                <w:color w:val="000000" w:themeColor="text1"/>
                <w:spacing w:val="10"/>
              </w:rPr>
              <w:t xml:space="preserve"> </w:t>
            </w:r>
            <w:r w:rsidRPr="00B65708">
              <w:rPr>
                <w:rFonts w:ascii="Arial" w:hAnsi="Arial" w:cs="Arial"/>
                <w:color w:val="000000" w:themeColor="text1"/>
              </w:rPr>
              <w:t>IRR</w:t>
            </w:r>
            <w:r w:rsidRPr="00B65708">
              <w:rPr>
                <w:rFonts w:ascii="Arial" w:hAnsi="Arial" w:cs="Arial"/>
                <w:color w:val="000000" w:themeColor="text1"/>
                <w:spacing w:val="9"/>
              </w:rPr>
              <w:t xml:space="preserve"> </w:t>
            </w:r>
            <w:r w:rsidRPr="00B65708">
              <w:rPr>
                <w:rFonts w:ascii="Arial" w:hAnsi="Arial" w:cs="Arial"/>
                <w:color w:val="000000" w:themeColor="text1"/>
              </w:rPr>
              <w:t>of</w:t>
            </w:r>
            <w:r w:rsidRPr="00B65708">
              <w:rPr>
                <w:rFonts w:ascii="Arial" w:hAnsi="Arial" w:cs="Arial"/>
                <w:color w:val="000000" w:themeColor="text1"/>
                <w:spacing w:val="10"/>
              </w:rPr>
              <w:t xml:space="preserve"> </w:t>
            </w:r>
            <w:r w:rsidRPr="00B65708">
              <w:rPr>
                <w:rFonts w:ascii="Arial" w:hAnsi="Arial" w:cs="Arial"/>
                <w:color w:val="000000" w:themeColor="text1"/>
              </w:rPr>
              <w:t>the</w:t>
            </w:r>
            <w:r w:rsidRPr="00B65708">
              <w:rPr>
                <w:rFonts w:ascii="Arial" w:hAnsi="Arial" w:cs="Arial"/>
                <w:color w:val="000000" w:themeColor="text1"/>
                <w:spacing w:val="9"/>
              </w:rPr>
              <w:t xml:space="preserve"> </w:t>
            </w:r>
            <w:r w:rsidRPr="00B65708">
              <w:rPr>
                <w:rFonts w:ascii="Arial" w:hAnsi="Arial" w:cs="Arial"/>
                <w:color w:val="000000" w:themeColor="text1"/>
              </w:rPr>
              <w:t>RE</w:t>
            </w:r>
            <w:r w:rsidRPr="00B65708">
              <w:rPr>
                <w:rFonts w:ascii="Arial" w:hAnsi="Arial" w:cs="Arial"/>
                <w:color w:val="000000" w:themeColor="text1"/>
                <w:spacing w:val="10"/>
              </w:rPr>
              <w:t xml:space="preserve"> </w:t>
            </w:r>
            <w:r w:rsidRPr="00B65708">
              <w:rPr>
                <w:rFonts w:ascii="Arial" w:hAnsi="Arial" w:cs="Arial"/>
                <w:color w:val="000000" w:themeColor="text1"/>
              </w:rPr>
              <w:t>Act,</w:t>
            </w:r>
            <w:r w:rsidRPr="00B65708">
              <w:rPr>
                <w:rFonts w:ascii="Arial" w:hAnsi="Arial" w:cs="Arial"/>
                <w:color w:val="000000" w:themeColor="text1"/>
                <w:spacing w:val="9"/>
              </w:rPr>
              <w:t xml:space="preserve"> </w:t>
            </w:r>
            <w:r w:rsidRPr="00B65708">
              <w:rPr>
                <w:rFonts w:ascii="Arial" w:hAnsi="Arial" w:cs="Arial"/>
                <w:color w:val="000000" w:themeColor="text1"/>
              </w:rPr>
              <w:t>the</w:t>
            </w:r>
            <w:r w:rsidRPr="00B65708">
              <w:rPr>
                <w:rFonts w:ascii="Arial" w:hAnsi="Arial" w:cs="Arial"/>
                <w:color w:val="000000" w:themeColor="text1"/>
                <w:spacing w:val="10"/>
              </w:rPr>
              <w:t xml:space="preserve"> </w:t>
            </w:r>
            <w:r w:rsidRPr="00B65708">
              <w:rPr>
                <w:rFonts w:ascii="Arial" w:hAnsi="Arial" w:cs="Arial"/>
                <w:color w:val="000000" w:themeColor="text1"/>
              </w:rPr>
              <w:t>DOE-REMB</w:t>
            </w:r>
            <w:r w:rsidRPr="00B65708">
              <w:rPr>
                <w:rFonts w:ascii="Arial" w:hAnsi="Arial" w:cs="Arial"/>
                <w:color w:val="000000" w:themeColor="text1"/>
                <w:spacing w:val="9"/>
              </w:rPr>
              <w:t xml:space="preserve"> </w:t>
            </w:r>
            <w:r w:rsidRPr="00B65708">
              <w:rPr>
                <w:rFonts w:ascii="Arial" w:hAnsi="Arial" w:cs="Arial"/>
                <w:color w:val="000000" w:themeColor="text1"/>
              </w:rPr>
              <w:t>shall</w:t>
            </w:r>
            <w:r w:rsidRPr="00B65708">
              <w:rPr>
                <w:rFonts w:ascii="Arial" w:hAnsi="Arial" w:cs="Arial"/>
                <w:color w:val="000000" w:themeColor="text1"/>
                <w:spacing w:val="10"/>
              </w:rPr>
              <w:t xml:space="preserve"> </w:t>
            </w:r>
            <w:r w:rsidRPr="00B65708">
              <w:rPr>
                <w:rFonts w:ascii="Arial" w:hAnsi="Arial" w:cs="Arial"/>
                <w:color w:val="000000" w:themeColor="text1"/>
              </w:rPr>
              <w:t>develop</w:t>
            </w:r>
            <w:r w:rsidRPr="00B65708">
              <w:rPr>
                <w:rFonts w:ascii="Arial" w:hAnsi="Arial" w:cs="Arial"/>
                <w:color w:val="000000" w:themeColor="text1"/>
                <w:spacing w:val="-45"/>
              </w:rPr>
              <w:t xml:space="preserve"> </w:t>
            </w:r>
            <w:r w:rsidRPr="00B65708">
              <w:rPr>
                <w:rFonts w:ascii="Arial" w:hAnsi="Arial" w:cs="Arial"/>
                <w:color w:val="000000" w:themeColor="text1"/>
              </w:rPr>
              <w:t>a</w:t>
            </w:r>
            <w:r w:rsidRPr="00B65708">
              <w:rPr>
                <w:rFonts w:ascii="Arial" w:hAnsi="Arial" w:cs="Arial"/>
                <w:color w:val="000000" w:themeColor="text1"/>
                <w:spacing w:val="1"/>
              </w:rPr>
              <w:t xml:space="preserve"> </w:t>
            </w:r>
            <w:r w:rsidRPr="00B65708">
              <w:rPr>
                <w:rFonts w:ascii="Arial" w:hAnsi="Arial" w:cs="Arial"/>
                <w:color w:val="000000" w:themeColor="text1"/>
              </w:rPr>
              <w:t>comprehensive</w:t>
            </w:r>
            <w:r w:rsidRPr="00B65708">
              <w:rPr>
                <w:rFonts w:ascii="Arial" w:hAnsi="Arial" w:cs="Arial"/>
                <w:color w:val="000000" w:themeColor="text1"/>
                <w:spacing w:val="1"/>
              </w:rPr>
              <w:t xml:space="preserve"> </w:t>
            </w:r>
            <w:r w:rsidRPr="00B65708">
              <w:rPr>
                <w:rFonts w:ascii="Arial" w:hAnsi="Arial" w:cs="Arial"/>
                <w:color w:val="000000" w:themeColor="text1"/>
              </w:rPr>
              <w:t>IEC</w:t>
            </w:r>
            <w:r w:rsidRPr="00B65708">
              <w:rPr>
                <w:rFonts w:ascii="Arial" w:hAnsi="Arial" w:cs="Arial"/>
                <w:color w:val="000000" w:themeColor="text1"/>
                <w:spacing w:val="1"/>
              </w:rPr>
              <w:t xml:space="preserve"> </w:t>
            </w:r>
            <w:r w:rsidRPr="00B65708">
              <w:rPr>
                <w:rFonts w:ascii="Arial" w:hAnsi="Arial" w:cs="Arial"/>
                <w:color w:val="000000" w:themeColor="text1"/>
              </w:rPr>
              <w:t>campaign</w:t>
            </w:r>
            <w:r w:rsidRPr="00B65708">
              <w:rPr>
                <w:rFonts w:ascii="Arial" w:hAnsi="Arial" w:cs="Arial"/>
                <w:color w:val="000000" w:themeColor="text1"/>
                <w:spacing w:val="1"/>
              </w:rPr>
              <w:t xml:space="preserve"> </w:t>
            </w:r>
            <w:r w:rsidRPr="00B65708">
              <w:rPr>
                <w:rFonts w:ascii="Arial" w:hAnsi="Arial" w:cs="Arial"/>
                <w:color w:val="000000" w:themeColor="text1"/>
              </w:rPr>
              <w:t>that</w:t>
            </w:r>
            <w:r w:rsidRPr="00B65708">
              <w:rPr>
                <w:rFonts w:ascii="Arial" w:hAnsi="Arial" w:cs="Arial"/>
                <w:color w:val="000000" w:themeColor="text1"/>
                <w:spacing w:val="1"/>
              </w:rPr>
              <w:t xml:space="preserve"> </w:t>
            </w:r>
            <w:r w:rsidRPr="00B65708">
              <w:rPr>
                <w:rFonts w:ascii="Arial" w:hAnsi="Arial" w:cs="Arial"/>
                <w:color w:val="000000" w:themeColor="text1"/>
              </w:rPr>
              <w:t>is</w:t>
            </w:r>
            <w:r w:rsidRPr="00B65708">
              <w:rPr>
                <w:rFonts w:ascii="Arial" w:hAnsi="Arial" w:cs="Arial"/>
                <w:color w:val="000000" w:themeColor="text1"/>
                <w:spacing w:val="1"/>
              </w:rPr>
              <w:t xml:space="preserve"> </w:t>
            </w:r>
            <w:r w:rsidRPr="00B65708">
              <w:rPr>
                <w:rFonts w:ascii="Arial" w:hAnsi="Arial" w:cs="Arial"/>
                <w:color w:val="000000" w:themeColor="text1"/>
              </w:rPr>
              <w:t>designed</w:t>
            </w:r>
            <w:r w:rsidRPr="00B65708">
              <w:rPr>
                <w:rFonts w:ascii="Arial" w:hAnsi="Arial" w:cs="Arial"/>
                <w:color w:val="000000" w:themeColor="text1"/>
                <w:spacing w:val="1"/>
              </w:rPr>
              <w:t xml:space="preserve"> </w:t>
            </w:r>
            <w:r w:rsidRPr="00B65708">
              <w:rPr>
                <w:rFonts w:ascii="Arial" w:hAnsi="Arial" w:cs="Arial"/>
                <w:color w:val="000000" w:themeColor="text1"/>
              </w:rPr>
              <w:t>to</w:t>
            </w:r>
            <w:r w:rsidRPr="00B65708">
              <w:rPr>
                <w:rFonts w:ascii="Arial" w:hAnsi="Arial" w:cs="Arial"/>
                <w:color w:val="000000" w:themeColor="text1"/>
                <w:spacing w:val="47"/>
              </w:rPr>
              <w:t xml:space="preserve"> </w:t>
            </w:r>
            <w:r w:rsidRPr="00B65708">
              <w:rPr>
                <w:rFonts w:ascii="Arial" w:hAnsi="Arial" w:cs="Arial"/>
                <w:color w:val="000000" w:themeColor="text1"/>
              </w:rPr>
              <w:t>increase</w:t>
            </w:r>
            <w:r w:rsidRPr="00B65708">
              <w:rPr>
                <w:rFonts w:ascii="Arial" w:hAnsi="Arial" w:cs="Arial"/>
                <w:color w:val="000000" w:themeColor="text1"/>
                <w:spacing w:val="47"/>
              </w:rPr>
              <w:t xml:space="preserve"> </w:t>
            </w:r>
            <w:r w:rsidRPr="00B65708">
              <w:rPr>
                <w:rFonts w:ascii="Arial" w:hAnsi="Arial" w:cs="Arial"/>
                <w:color w:val="000000" w:themeColor="text1"/>
              </w:rPr>
              <w:t>the</w:t>
            </w:r>
            <w:r w:rsidRPr="00B65708">
              <w:rPr>
                <w:rFonts w:ascii="Arial" w:hAnsi="Arial" w:cs="Arial"/>
                <w:color w:val="000000" w:themeColor="text1"/>
                <w:spacing w:val="47"/>
              </w:rPr>
              <w:t xml:space="preserve"> </w:t>
            </w:r>
            <w:r w:rsidRPr="00B65708">
              <w:rPr>
                <w:rFonts w:ascii="Arial" w:hAnsi="Arial" w:cs="Arial"/>
                <w:color w:val="000000" w:themeColor="text1"/>
              </w:rPr>
              <w:t>public</w:t>
            </w:r>
            <w:r w:rsidRPr="00B65708">
              <w:rPr>
                <w:rFonts w:ascii="Arial" w:hAnsi="Arial" w:cs="Arial"/>
                <w:color w:val="000000" w:themeColor="text1"/>
                <w:spacing w:val="1"/>
              </w:rPr>
              <w:t xml:space="preserve"> </w:t>
            </w:r>
            <w:r w:rsidRPr="00B65708">
              <w:rPr>
                <w:rFonts w:ascii="Arial" w:hAnsi="Arial" w:cs="Arial"/>
                <w:color w:val="000000" w:themeColor="text1"/>
              </w:rPr>
              <w:t>awareness and appreciation of the Revised RPS Off-Grid Rules and the RE industry, in</w:t>
            </w:r>
            <w:r w:rsidRPr="00B65708">
              <w:rPr>
                <w:rFonts w:ascii="Arial" w:hAnsi="Arial" w:cs="Arial"/>
                <w:color w:val="000000" w:themeColor="text1"/>
                <w:spacing w:val="1"/>
              </w:rPr>
              <w:t xml:space="preserve"> </w:t>
            </w:r>
            <w:r w:rsidRPr="00B65708">
              <w:rPr>
                <w:rFonts w:ascii="Arial" w:hAnsi="Arial" w:cs="Arial"/>
                <w:color w:val="000000" w:themeColor="text1"/>
              </w:rPr>
              <w:t>general.</w:t>
            </w:r>
          </w:p>
          <w:p w14:paraId="544B129A" w14:textId="77777777" w:rsidR="008E351A" w:rsidRPr="00B65708" w:rsidRDefault="008E351A" w:rsidP="008E351A">
            <w:pPr>
              <w:jc w:val="both"/>
              <w:rPr>
                <w:rFonts w:ascii="Arial" w:hAnsi="Arial" w:cs="Arial"/>
                <w:b/>
                <w:bCs/>
                <w:color w:val="000000" w:themeColor="text1"/>
                <w:sz w:val="24"/>
                <w:szCs w:val="24"/>
              </w:rPr>
            </w:pPr>
          </w:p>
        </w:tc>
        <w:tc>
          <w:tcPr>
            <w:tcW w:w="4428" w:type="dxa"/>
          </w:tcPr>
          <w:p w14:paraId="5F157995" w14:textId="77777777" w:rsidR="008E351A" w:rsidRPr="00040EFE" w:rsidRDefault="008E351A" w:rsidP="00040EFE">
            <w:pPr>
              <w:jc w:val="center"/>
              <w:rPr>
                <w:b/>
                <w:bCs/>
                <w:sz w:val="28"/>
                <w:szCs w:val="28"/>
              </w:rPr>
            </w:pPr>
          </w:p>
        </w:tc>
        <w:tc>
          <w:tcPr>
            <w:tcW w:w="4278" w:type="dxa"/>
          </w:tcPr>
          <w:p w14:paraId="55E62896" w14:textId="77777777" w:rsidR="008E351A" w:rsidRPr="00040EFE" w:rsidRDefault="008E351A" w:rsidP="00040EFE">
            <w:pPr>
              <w:jc w:val="center"/>
              <w:rPr>
                <w:b/>
                <w:bCs/>
                <w:sz w:val="28"/>
                <w:szCs w:val="28"/>
              </w:rPr>
            </w:pPr>
          </w:p>
        </w:tc>
      </w:tr>
      <w:tr w:rsidR="002C0BAC" w14:paraId="3091FBDA" w14:textId="77777777" w:rsidTr="004F73D6">
        <w:trPr>
          <w:trHeight w:val="328"/>
          <w:tblHeader/>
        </w:trPr>
        <w:tc>
          <w:tcPr>
            <w:tcW w:w="5597" w:type="dxa"/>
          </w:tcPr>
          <w:p w14:paraId="2E506C26" w14:textId="77777777" w:rsidR="00FD698A" w:rsidRPr="00B65708" w:rsidRDefault="00FD698A" w:rsidP="00FD698A">
            <w:pPr>
              <w:pStyle w:val="NoSpacing"/>
              <w:jc w:val="both"/>
              <w:rPr>
                <w:rFonts w:ascii="Arial" w:hAnsi="Arial" w:cs="Arial"/>
                <w:color w:val="000000" w:themeColor="text1"/>
              </w:rPr>
            </w:pPr>
            <w:r w:rsidRPr="00B65708">
              <w:rPr>
                <w:rFonts w:ascii="Arial" w:hAnsi="Arial" w:cs="Arial"/>
                <w:b/>
                <w:bCs/>
                <w:color w:val="000000" w:themeColor="text1"/>
              </w:rPr>
              <w:t xml:space="preserve">Section 8.  Non-Diminution of Vested Rights.  </w:t>
            </w:r>
            <w:r w:rsidRPr="00B65708">
              <w:rPr>
                <w:rFonts w:ascii="Arial" w:hAnsi="Arial" w:cs="Arial"/>
                <w:color w:val="000000" w:themeColor="text1"/>
              </w:rPr>
              <w:t>No provision of this Circular shall be construed as diminishing or impairing any right vested by virtue of existing laws, contracts, or agreements.</w:t>
            </w:r>
          </w:p>
          <w:p w14:paraId="127942C6" w14:textId="77777777" w:rsidR="002C0BAC" w:rsidRPr="00B65708" w:rsidRDefault="002C0BAC" w:rsidP="002C0BAC">
            <w:pPr>
              <w:pStyle w:val="NoSpacing"/>
              <w:jc w:val="both"/>
              <w:rPr>
                <w:rFonts w:ascii="Arial" w:hAnsi="Arial" w:cs="Arial"/>
                <w:b/>
                <w:color w:val="000000" w:themeColor="text1"/>
              </w:rPr>
            </w:pPr>
          </w:p>
        </w:tc>
        <w:tc>
          <w:tcPr>
            <w:tcW w:w="4428" w:type="dxa"/>
          </w:tcPr>
          <w:p w14:paraId="510366E4" w14:textId="77777777" w:rsidR="002C0BAC" w:rsidRPr="00040EFE" w:rsidRDefault="002C0BAC" w:rsidP="00040EFE">
            <w:pPr>
              <w:jc w:val="center"/>
              <w:rPr>
                <w:b/>
                <w:bCs/>
                <w:sz w:val="28"/>
                <w:szCs w:val="28"/>
              </w:rPr>
            </w:pPr>
          </w:p>
        </w:tc>
        <w:tc>
          <w:tcPr>
            <w:tcW w:w="4278" w:type="dxa"/>
          </w:tcPr>
          <w:p w14:paraId="0A8F252E" w14:textId="77777777" w:rsidR="002C0BAC" w:rsidRPr="00040EFE" w:rsidRDefault="002C0BAC" w:rsidP="00040EFE">
            <w:pPr>
              <w:jc w:val="center"/>
              <w:rPr>
                <w:b/>
                <w:bCs/>
                <w:sz w:val="28"/>
                <w:szCs w:val="28"/>
              </w:rPr>
            </w:pPr>
          </w:p>
        </w:tc>
      </w:tr>
      <w:tr w:rsidR="00FD698A" w14:paraId="29BD6F8D" w14:textId="77777777" w:rsidTr="004F73D6">
        <w:trPr>
          <w:trHeight w:val="328"/>
          <w:tblHeader/>
        </w:trPr>
        <w:tc>
          <w:tcPr>
            <w:tcW w:w="5597" w:type="dxa"/>
          </w:tcPr>
          <w:p w14:paraId="03FAD847" w14:textId="77777777" w:rsidR="00E829E5" w:rsidRPr="00B65708" w:rsidRDefault="00E829E5" w:rsidP="00E829E5">
            <w:pPr>
              <w:pStyle w:val="NoSpacing"/>
              <w:jc w:val="both"/>
              <w:rPr>
                <w:rFonts w:ascii="Arial" w:hAnsi="Arial" w:cs="Arial"/>
                <w:color w:val="000000" w:themeColor="text1"/>
              </w:rPr>
            </w:pPr>
            <w:r w:rsidRPr="00B65708">
              <w:rPr>
                <w:rFonts w:ascii="Arial" w:hAnsi="Arial" w:cs="Arial"/>
                <w:b/>
                <w:bCs/>
                <w:color w:val="000000" w:themeColor="text1"/>
              </w:rPr>
              <w:t>Section 9.  Separability Clause.</w:t>
            </w:r>
            <w:r w:rsidRPr="00B65708">
              <w:rPr>
                <w:rFonts w:ascii="Arial" w:hAnsi="Arial" w:cs="Arial"/>
                <w:color w:val="000000" w:themeColor="text1"/>
              </w:rPr>
              <w:t xml:space="preserve">  If any provision of this Circular is declared invalid or unconstitutional, the other provisions not affected thereby shall remain valid and subsisting.</w:t>
            </w:r>
          </w:p>
          <w:p w14:paraId="29156FE1" w14:textId="77777777" w:rsidR="00FD698A" w:rsidRPr="00B65708" w:rsidRDefault="00FD698A" w:rsidP="00FD698A">
            <w:pPr>
              <w:pStyle w:val="NoSpacing"/>
              <w:jc w:val="both"/>
              <w:rPr>
                <w:rFonts w:ascii="Arial" w:hAnsi="Arial" w:cs="Arial"/>
                <w:b/>
                <w:bCs/>
                <w:color w:val="000000" w:themeColor="text1"/>
              </w:rPr>
            </w:pPr>
          </w:p>
        </w:tc>
        <w:tc>
          <w:tcPr>
            <w:tcW w:w="4428" w:type="dxa"/>
          </w:tcPr>
          <w:p w14:paraId="3671CE53" w14:textId="77777777" w:rsidR="00FD698A" w:rsidRPr="00040EFE" w:rsidRDefault="00FD698A" w:rsidP="00040EFE">
            <w:pPr>
              <w:jc w:val="center"/>
              <w:rPr>
                <w:b/>
                <w:bCs/>
                <w:sz w:val="28"/>
                <w:szCs w:val="28"/>
              </w:rPr>
            </w:pPr>
          </w:p>
        </w:tc>
        <w:tc>
          <w:tcPr>
            <w:tcW w:w="4278" w:type="dxa"/>
          </w:tcPr>
          <w:p w14:paraId="470519D9" w14:textId="77777777" w:rsidR="00FD698A" w:rsidRPr="00040EFE" w:rsidRDefault="00FD698A" w:rsidP="00040EFE">
            <w:pPr>
              <w:jc w:val="center"/>
              <w:rPr>
                <w:b/>
                <w:bCs/>
                <w:sz w:val="28"/>
                <w:szCs w:val="28"/>
              </w:rPr>
            </w:pPr>
          </w:p>
        </w:tc>
      </w:tr>
      <w:tr w:rsidR="00E829E5" w14:paraId="542858D7" w14:textId="77777777" w:rsidTr="004F73D6">
        <w:trPr>
          <w:trHeight w:val="328"/>
          <w:tblHeader/>
        </w:trPr>
        <w:tc>
          <w:tcPr>
            <w:tcW w:w="5597" w:type="dxa"/>
          </w:tcPr>
          <w:p w14:paraId="2D6E1C1E" w14:textId="77777777" w:rsidR="00DF543B" w:rsidRPr="00B65708" w:rsidRDefault="00DF543B" w:rsidP="00DF543B">
            <w:pPr>
              <w:pStyle w:val="NoSpacing"/>
              <w:jc w:val="both"/>
              <w:rPr>
                <w:rFonts w:ascii="Arial" w:hAnsi="Arial" w:cs="Arial"/>
                <w:color w:val="000000" w:themeColor="text1"/>
              </w:rPr>
            </w:pPr>
            <w:r w:rsidRPr="00B65708">
              <w:rPr>
                <w:rFonts w:ascii="Arial" w:hAnsi="Arial" w:cs="Arial"/>
                <w:b/>
                <w:bCs/>
                <w:color w:val="000000" w:themeColor="text1"/>
              </w:rPr>
              <w:t>Section 10.  Effectivity.</w:t>
            </w:r>
            <w:r w:rsidRPr="00B65708">
              <w:rPr>
                <w:rFonts w:ascii="Arial" w:hAnsi="Arial" w:cs="Arial"/>
                <w:color w:val="000000" w:themeColor="text1"/>
              </w:rPr>
              <w:t xml:space="preserve">  This Circular shall take effect fifteen (15) days after its filing with the University of the Philippines Law Center – Office of the National Administrative Register and publication in at least two (2) newspapers of general circulation.</w:t>
            </w:r>
          </w:p>
          <w:p w14:paraId="3C91B833" w14:textId="77777777" w:rsidR="00E829E5" w:rsidRPr="00B65708" w:rsidRDefault="00E829E5" w:rsidP="00E829E5">
            <w:pPr>
              <w:pStyle w:val="NoSpacing"/>
              <w:jc w:val="both"/>
              <w:rPr>
                <w:rFonts w:ascii="Arial" w:hAnsi="Arial" w:cs="Arial"/>
                <w:b/>
                <w:bCs/>
                <w:color w:val="000000" w:themeColor="text1"/>
              </w:rPr>
            </w:pPr>
          </w:p>
        </w:tc>
        <w:tc>
          <w:tcPr>
            <w:tcW w:w="4428" w:type="dxa"/>
          </w:tcPr>
          <w:p w14:paraId="3D5445CF" w14:textId="77777777" w:rsidR="00E829E5" w:rsidRPr="00040EFE" w:rsidRDefault="00E829E5" w:rsidP="00040EFE">
            <w:pPr>
              <w:jc w:val="center"/>
              <w:rPr>
                <w:b/>
                <w:bCs/>
                <w:sz w:val="28"/>
                <w:szCs w:val="28"/>
              </w:rPr>
            </w:pPr>
          </w:p>
        </w:tc>
        <w:tc>
          <w:tcPr>
            <w:tcW w:w="4278" w:type="dxa"/>
          </w:tcPr>
          <w:p w14:paraId="6506E266" w14:textId="77777777" w:rsidR="00E829E5" w:rsidRPr="00040EFE" w:rsidRDefault="00E829E5" w:rsidP="00040EFE">
            <w:pPr>
              <w:jc w:val="center"/>
              <w:rPr>
                <w:b/>
                <w:bCs/>
                <w:sz w:val="28"/>
                <w:szCs w:val="28"/>
              </w:rPr>
            </w:pPr>
          </w:p>
        </w:tc>
      </w:tr>
    </w:tbl>
    <w:p w14:paraId="497DF65D" w14:textId="77777777" w:rsidR="00C93F9A" w:rsidRDefault="00C93F9A"/>
    <w:sectPr w:rsidR="00C93F9A" w:rsidSect="00040EFE">
      <w:headerReference w:type="default" r:id="rId7"/>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2011" w14:textId="77777777" w:rsidR="000B6625" w:rsidRDefault="000B6625" w:rsidP="00040EFE">
      <w:pPr>
        <w:spacing w:after="0" w:line="240" w:lineRule="auto"/>
      </w:pPr>
      <w:r>
        <w:separator/>
      </w:r>
    </w:p>
  </w:endnote>
  <w:endnote w:type="continuationSeparator" w:id="0">
    <w:p w14:paraId="11F63163" w14:textId="77777777" w:rsidR="000B6625" w:rsidRDefault="000B6625" w:rsidP="0004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33258" w14:textId="77777777" w:rsidR="000B6625" w:rsidRDefault="000B6625" w:rsidP="00040EFE">
      <w:pPr>
        <w:spacing w:after="0" w:line="240" w:lineRule="auto"/>
      </w:pPr>
      <w:r>
        <w:separator/>
      </w:r>
    </w:p>
  </w:footnote>
  <w:footnote w:type="continuationSeparator" w:id="0">
    <w:p w14:paraId="43D704D7" w14:textId="77777777" w:rsidR="000B6625" w:rsidRDefault="000B6625" w:rsidP="0004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CDED" w14:textId="78633031" w:rsidR="00040EFE" w:rsidRPr="00F555BC" w:rsidRDefault="00040EFE" w:rsidP="00F555BC">
    <w:pPr>
      <w:pStyle w:val="NoSpacing"/>
      <w:jc w:val="center"/>
      <w:rPr>
        <w:rFonts w:ascii="Arial" w:hAnsi="Arial" w:cs="Arial"/>
        <w:b/>
        <w:bCs/>
      </w:rPr>
    </w:pPr>
    <w:r w:rsidRPr="00F555BC">
      <w:rPr>
        <w:rFonts w:ascii="Arial" w:hAnsi="Arial" w:cs="Arial"/>
        <w:b/>
        <w:bCs/>
      </w:rPr>
      <w:t>&lt;</w:t>
    </w:r>
    <w:r w:rsidRPr="00F555BC">
      <w:rPr>
        <w:rFonts w:ascii="Arial" w:hAnsi="Arial" w:cs="Arial"/>
        <w:b/>
        <w:bCs/>
        <w:color w:val="FF0000"/>
      </w:rPr>
      <w:t>COMPANY NAME</w:t>
    </w:r>
    <w:r w:rsidRPr="00F555BC">
      <w:rPr>
        <w:rFonts w:ascii="Arial" w:hAnsi="Arial" w:cs="Arial"/>
        <w:b/>
        <w:bCs/>
      </w:rPr>
      <w:t>&gt; Comments on the Proposed Department Circular on</w:t>
    </w:r>
    <w:r w:rsidRPr="00F555BC">
      <w:rPr>
        <w:rFonts w:ascii="Arial" w:hAnsi="Arial" w:cs="Arial"/>
        <w:b/>
        <w:bCs/>
      </w:rPr>
      <w:br/>
    </w:r>
    <w:r w:rsidR="00F555BC" w:rsidRPr="00F555BC">
      <w:rPr>
        <w:rFonts w:ascii="Arial" w:hAnsi="Arial" w:cs="Arial"/>
        <w:b/>
        <w:bCs/>
      </w:rPr>
      <w:t>DECLARATION OF THE FULL COMMERCIAL OPERATIONS</w:t>
    </w:r>
    <w:r w:rsidR="00F555BC" w:rsidRPr="00F555BC">
      <w:rPr>
        <w:rFonts w:ascii="Arial" w:hAnsi="Arial" w:cs="Arial"/>
        <w:b/>
        <w:bCs/>
      </w:rPr>
      <w:t xml:space="preserve"> </w:t>
    </w:r>
    <w:r w:rsidR="00F555BC" w:rsidRPr="00F555BC">
      <w:rPr>
        <w:rFonts w:ascii="Arial" w:hAnsi="Arial" w:cs="Arial"/>
        <w:b/>
        <w:bCs/>
      </w:rPr>
      <w:t>OF THE RENEWABLE ENERGY MARKET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406"/>
    <w:multiLevelType w:val="hybridMultilevel"/>
    <w:tmpl w:val="0D560DD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16B1C6D"/>
    <w:multiLevelType w:val="hybridMultilevel"/>
    <w:tmpl w:val="7ABC0768"/>
    <w:lvl w:ilvl="0" w:tplc="88E2ED7C">
      <w:start w:val="1"/>
      <w:numFmt w:val="lowerLetter"/>
      <w:lvlText w:val="(%1)"/>
      <w:lvlJc w:val="left"/>
      <w:pPr>
        <w:ind w:left="2705" w:hanging="360"/>
      </w:pPr>
      <w:rPr>
        <w:rFonts w:ascii="Arial" w:hAnsi="Arial"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F31E9"/>
    <w:multiLevelType w:val="hybridMultilevel"/>
    <w:tmpl w:val="117639EA"/>
    <w:lvl w:ilvl="0" w:tplc="F2F2CD3C">
      <w:start w:val="1"/>
      <w:numFmt w:val="lowerLetter"/>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0950CC"/>
    <w:multiLevelType w:val="hybridMultilevel"/>
    <w:tmpl w:val="8E0C0680"/>
    <w:lvl w:ilvl="0" w:tplc="FFFFFFFF">
      <w:start w:val="1"/>
      <w:numFmt w:val="lowerLetter"/>
      <w:lvlText w:val="(%1)"/>
      <w:lvlJc w:val="left"/>
      <w:pPr>
        <w:ind w:left="1440" w:hanging="720"/>
      </w:pPr>
      <w:rPr>
        <w:rFonts w:ascii="Arial MT" w:eastAsia="Arial MT" w:hAnsi="Arial MT" w:cs="Arial MT" w:hint="defaul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9CF7CC4"/>
    <w:multiLevelType w:val="hybridMultilevel"/>
    <w:tmpl w:val="74DE0A08"/>
    <w:lvl w:ilvl="0" w:tplc="C17890E0">
      <w:start w:val="1"/>
      <w:numFmt w:val="lowerLetter"/>
      <w:lvlText w:val="(%1)"/>
      <w:lvlJc w:val="left"/>
      <w:pPr>
        <w:ind w:left="1004" w:hanging="360"/>
      </w:pPr>
      <w:rPr>
        <w:rFonts w:hint="default"/>
      </w:rPr>
    </w:lvl>
    <w:lvl w:ilvl="1" w:tplc="34090019" w:tentative="1">
      <w:start w:val="1"/>
      <w:numFmt w:val="lowerLetter"/>
      <w:lvlText w:val="%2."/>
      <w:lvlJc w:val="left"/>
      <w:pPr>
        <w:ind w:left="1724" w:hanging="360"/>
      </w:pPr>
    </w:lvl>
    <w:lvl w:ilvl="2" w:tplc="3409001B" w:tentative="1">
      <w:start w:val="1"/>
      <w:numFmt w:val="lowerRoman"/>
      <w:lvlText w:val="%3."/>
      <w:lvlJc w:val="right"/>
      <w:pPr>
        <w:ind w:left="2444" w:hanging="180"/>
      </w:pPr>
    </w:lvl>
    <w:lvl w:ilvl="3" w:tplc="3409000F" w:tentative="1">
      <w:start w:val="1"/>
      <w:numFmt w:val="decimal"/>
      <w:lvlText w:val="%4."/>
      <w:lvlJc w:val="left"/>
      <w:pPr>
        <w:ind w:left="3164" w:hanging="360"/>
      </w:pPr>
    </w:lvl>
    <w:lvl w:ilvl="4" w:tplc="34090019" w:tentative="1">
      <w:start w:val="1"/>
      <w:numFmt w:val="lowerLetter"/>
      <w:lvlText w:val="%5."/>
      <w:lvlJc w:val="left"/>
      <w:pPr>
        <w:ind w:left="3884" w:hanging="360"/>
      </w:pPr>
    </w:lvl>
    <w:lvl w:ilvl="5" w:tplc="3409001B" w:tentative="1">
      <w:start w:val="1"/>
      <w:numFmt w:val="lowerRoman"/>
      <w:lvlText w:val="%6."/>
      <w:lvlJc w:val="right"/>
      <w:pPr>
        <w:ind w:left="4604" w:hanging="180"/>
      </w:pPr>
    </w:lvl>
    <w:lvl w:ilvl="6" w:tplc="3409000F" w:tentative="1">
      <w:start w:val="1"/>
      <w:numFmt w:val="decimal"/>
      <w:lvlText w:val="%7."/>
      <w:lvlJc w:val="left"/>
      <w:pPr>
        <w:ind w:left="5324" w:hanging="360"/>
      </w:pPr>
    </w:lvl>
    <w:lvl w:ilvl="7" w:tplc="34090019" w:tentative="1">
      <w:start w:val="1"/>
      <w:numFmt w:val="lowerLetter"/>
      <w:lvlText w:val="%8."/>
      <w:lvlJc w:val="left"/>
      <w:pPr>
        <w:ind w:left="6044" w:hanging="360"/>
      </w:pPr>
    </w:lvl>
    <w:lvl w:ilvl="8" w:tplc="3409001B" w:tentative="1">
      <w:start w:val="1"/>
      <w:numFmt w:val="lowerRoman"/>
      <w:lvlText w:val="%9."/>
      <w:lvlJc w:val="right"/>
      <w:pPr>
        <w:ind w:left="6764" w:hanging="180"/>
      </w:pPr>
    </w:lvl>
  </w:abstractNum>
  <w:abstractNum w:abstractNumId="5" w15:restartNumberingAfterBreak="0">
    <w:nsid w:val="0C3F790E"/>
    <w:multiLevelType w:val="hybridMultilevel"/>
    <w:tmpl w:val="E7DA1E4C"/>
    <w:lvl w:ilvl="0" w:tplc="B88C7EEC">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5E881046">
      <w:numFmt w:val="bullet"/>
      <w:lvlText w:val="•"/>
      <w:lvlJc w:val="left"/>
      <w:pPr>
        <w:ind w:left="2050" w:hanging="512"/>
      </w:pPr>
      <w:rPr>
        <w:rFonts w:hint="default"/>
        <w:lang w:val="en-US" w:eastAsia="en-US" w:bidi="ar-SA"/>
      </w:rPr>
    </w:lvl>
    <w:lvl w:ilvl="2" w:tplc="9F6EB1BA">
      <w:numFmt w:val="bullet"/>
      <w:lvlText w:val="•"/>
      <w:lvlJc w:val="left"/>
      <w:pPr>
        <w:ind w:left="2621" w:hanging="512"/>
      </w:pPr>
      <w:rPr>
        <w:rFonts w:hint="default"/>
        <w:lang w:val="en-US" w:eastAsia="en-US" w:bidi="ar-SA"/>
      </w:rPr>
    </w:lvl>
    <w:lvl w:ilvl="3" w:tplc="C9C2CF3C">
      <w:numFmt w:val="bullet"/>
      <w:lvlText w:val="•"/>
      <w:lvlJc w:val="left"/>
      <w:pPr>
        <w:ind w:left="3192" w:hanging="512"/>
      </w:pPr>
      <w:rPr>
        <w:rFonts w:hint="default"/>
        <w:lang w:val="en-US" w:eastAsia="en-US" w:bidi="ar-SA"/>
      </w:rPr>
    </w:lvl>
    <w:lvl w:ilvl="4" w:tplc="DECAAB60">
      <w:numFmt w:val="bullet"/>
      <w:lvlText w:val="•"/>
      <w:lvlJc w:val="left"/>
      <w:pPr>
        <w:ind w:left="3763" w:hanging="512"/>
      </w:pPr>
      <w:rPr>
        <w:rFonts w:hint="default"/>
        <w:lang w:val="en-US" w:eastAsia="en-US" w:bidi="ar-SA"/>
      </w:rPr>
    </w:lvl>
    <w:lvl w:ilvl="5" w:tplc="2BF48740">
      <w:numFmt w:val="bullet"/>
      <w:lvlText w:val="•"/>
      <w:lvlJc w:val="left"/>
      <w:pPr>
        <w:ind w:left="4333" w:hanging="512"/>
      </w:pPr>
      <w:rPr>
        <w:rFonts w:hint="default"/>
        <w:lang w:val="en-US" w:eastAsia="en-US" w:bidi="ar-SA"/>
      </w:rPr>
    </w:lvl>
    <w:lvl w:ilvl="6" w:tplc="351031F0">
      <w:numFmt w:val="bullet"/>
      <w:lvlText w:val="•"/>
      <w:lvlJc w:val="left"/>
      <w:pPr>
        <w:ind w:left="4904" w:hanging="512"/>
      </w:pPr>
      <w:rPr>
        <w:rFonts w:hint="default"/>
        <w:lang w:val="en-US" w:eastAsia="en-US" w:bidi="ar-SA"/>
      </w:rPr>
    </w:lvl>
    <w:lvl w:ilvl="7" w:tplc="38B839FC">
      <w:numFmt w:val="bullet"/>
      <w:lvlText w:val="•"/>
      <w:lvlJc w:val="left"/>
      <w:pPr>
        <w:ind w:left="5475" w:hanging="512"/>
      </w:pPr>
      <w:rPr>
        <w:rFonts w:hint="default"/>
        <w:lang w:val="en-US" w:eastAsia="en-US" w:bidi="ar-SA"/>
      </w:rPr>
    </w:lvl>
    <w:lvl w:ilvl="8" w:tplc="F176CBB6">
      <w:numFmt w:val="bullet"/>
      <w:lvlText w:val="•"/>
      <w:lvlJc w:val="left"/>
      <w:pPr>
        <w:ind w:left="6046" w:hanging="512"/>
      </w:pPr>
      <w:rPr>
        <w:rFonts w:hint="default"/>
        <w:lang w:val="en-US" w:eastAsia="en-US" w:bidi="ar-SA"/>
      </w:rPr>
    </w:lvl>
  </w:abstractNum>
  <w:abstractNum w:abstractNumId="6" w15:restartNumberingAfterBreak="0">
    <w:nsid w:val="0CBF2EE1"/>
    <w:multiLevelType w:val="hybridMultilevel"/>
    <w:tmpl w:val="CEAE9DC8"/>
    <w:lvl w:ilvl="0" w:tplc="67C42D5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0E353D5D"/>
    <w:multiLevelType w:val="hybridMultilevel"/>
    <w:tmpl w:val="0D560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056941"/>
    <w:multiLevelType w:val="hybridMultilevel"/>
    <w:tmpl w:val="26DE90D8"/>
    <w:lvl w:ilvl="0" w:tplc="B29A5D64">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77A68B2"/>
    <w:multiLevelType w:val="hybridMultilevel"/>
    <w:tmpl w:val="D08C450A"/>
    <w:lvl w:ilvl="0" w:tplc="7E4EDE2C">
      <w:start w:val="1"/>
      <w:numFmt w:val="lowerRoman"/>
      <w:lvlText w:val="(%1)"/>
      <w:lvlJc w:val="left"/>
      <w:pPr>
        <w:ind w:left="2940" w:hanging="720"/>
      </w:pPr>
      <w:rPr>
        <w:rFonts w:hint="default"/>
      </w:rPr>
    </w:lvl>
    <w:lvl w:ilvl="1" w:tplc="34090019" w:tentative="1">
      <w:start w:val="1"/>
      <w:numFmt w:val="lowerLetter"/>
      <w:lvlText w:val="%2."/>
      <w:lvlJc w:val="left"/>
      <w:pPr>
        <w:ind w:left="3300" w:hanging="360"/>
      </w:pPr>
    </w:lvl>
    <w:lvl w:ilvl="2" w:tplc="3409001B" w:tentative="1">
      <w:start w:val="1"/>
      <w:numFmt w:val="lowerRoman"/>
      <w:lvlText w:val="%3."/>
      <w:lvlJc w:val="right"/>
      <w:pPr>
        <w:ind w:left="4020" w:hanging="180"/>
      </w:pPr>
    </w:lvl>
    <w:lvl w:ilvl="3" w:tplc="3409000F" w:tentative="1">
      <w:start w:val="1"/>
      <w:numFmt w:val="decimal"/>
      <w:lvlText w:val="%4."/>
      <w:lvlJc w:val="left"/>
      <w:pPr>
        <w:ind w:left="4740" w:hanging="360"/>
      </w:pPr>
    </w:lvl>
    <w:lvl w:ilvl="4" w:tplc="34090019" w:tentative="1">
      <w:start w:val="1"/>
      <w:numFmt w:val="lowerLetter"/>
      <w:lvlText w:val="%5."/>
      <w:lvlJc w:val="left"/>
      <w:pPr>
        <w:ind w:left="5460" w:hanging="360"/>
      </w:pPr>
    </w:lvl>
    <w:lvl w:ilvl="5" w:tplc="3409001B" w:tentative="1">
      <w:start w:val="1"/>
      <w:numFmt w:val="lowerRoman"/>
      <w:lvlText w:val="%6."/>
      <w:lvlJc w:val="right"/>
      <w:pPr>
        <w:ind w:left="6180" w:hanging="180"/>
      </w:pPr>
    </w:lvl>
    <w:lvl w:ilvl="6" w:tplc="3409000F" w:tentative="1">
      <w:start w:val="1"/>
      <w:numFmt w:val="decimal"/>
      <w:lvlText w:val="%7."/>
      <w:lvlJc w:val="left"/>
      <w:pPr>
        <w:ind w:left="6900" w:hanging="360"/>
      </w:pPr>
    </w:lvl>
    <w:lvl w:ilvl="7" w:tplc="34090019" w:tentative="1">
      <w:start w:val="1"/>
      <w:numFmt w:val="lowerLetter"/>
      <w:lvlText w:val="%8."/>
      <w:lvlJc w:val="left"/>
      <w:pPr>
        <w:ind w:left="7620" w:hanging="360"/>
      </w:pPr>
    </w:lvl>
    <w:lvl w:ilvl="8" w:tplc="3409001B" w:tentative="1">
      <w:start w:val="1"/>
      <w:numFmt w:val="lowerRoman"/>
      <w:lvlText w:val="%9."/>
      <w:lvlJc w:val="right"/>
      <w:pPr>
        <w:ind w:left="8340" w:hanging="180"/>
      </w:pPr>
    </w:lvl>
  </w:abstractNum>
  <w:abstractNum w:abstractNumId="10" w15:restartNumberingAfterBreak="0">
    <w:nsid w:val="18B34D0F"/>
    <w:multiLevelType w:val="hybridMultilevel"/>
    <w:tmpl w:val="70CA7728"/>
    <w:lvl w:ilvl="0" w:tplc="D7D6A8D2">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D468117E">
      <w:start w:val="1"/>
      <w:numFmt w:val="lowerRoman"/>
      <w:lvlText w:val="(%2)"/>
      <w:lvlJc w:val="left"/>
      <w:pPr>
        <w:ind w:left="2012" w:hanging="589"/>
      </w:pPr>
      <w:rPr>
        <w:rFonts w:ascii="Arial MT" w:eastAsia="Arial MT" w:hAnsi="Arial MT" w:cs="Arial MT" w:hint="default"/>
        <w:w w:val="101"/>
        <w:sz w:val="24"/>
        <w:szCs w:val="24"/>
        <w:lang w:val="en-US" w:eastAsia="en-US" w:bidi="ar-SA"/>
      </w:rPr>
    </w:lvl>
    <w:lvl w:ilvl="2" w:tplc="D4C29184">
      <w:numFmt w:val="bullet"/>
      <w:lvlText w:val="•"/>
      <w:lvlJc w:val="left"/>
      <w:pPr>
        <w:ind w:left="2596" w:hanging="589"/>
      </w:pPr>
      <w:rPr>
        <w:rFonts w:hint="default"/>
        <w:lang w:val="en-US" w:eastAsia="en-US" w:bidi="ar-SA"/>
      </w:rPr>
    </w:lvl>
    <w:lvl w:ilvl="3" w:tplc="088065C4">
      <w:numFmt w:val="bullet"/>
      <w:lvlText w:val="•"/>
      <w:lvlJc w:val="left"/>
      <w:pPr>
        <w:ind w:left="3172" w:hanging="589"/>
      </w:pPr>
      <w:rPr>
        <w:rFonts w:hint="default"/>
        <w:lang w:val="en-US" w:eastAsia="en-US" w:bidi="ar-SA"/>
      </w:rPr>
    </w:lvl>
    <w:lvl w:ilvl="4" w:tplc="96386F74">
      <w:numFmt w:val="bullet"/>
      <w:lvlText w:val="•"/>
      <w:lvlJc w:val="left"/>
      <w:pPr>
        <w:ind w:left="3749" w:hanging="589"/>
      </w:pPr>
      <w:rPr>
        <w:rFonts w:hint="default"/>
        <w:lang w:val="en-US" w:eastAsia="en-US" w:bidi="ar-SA"/>
      </w:rPr>
    </w:lvl>
    <w:lvl w:ilvl="5" w:tplc="2A7E6F5E">
      <w:numFmt w:val="bullet"/>
      <w:lvlText w:val="•"/>
      <w:lvlJc w:val="left"/>
      <w:pPr>
        <w:ind w:left="4325" w:hanging="589"/>
      </w:pPr>
      <w:rPr>
        <w:rFonts w:hint="default"/>
        <w:lang w:val="en-US" w:eastAsia="en-US" w:bidi="ar-SA"/>
      </w:rPr>
    </w:lvl>
    <w:lvl w:ilvl="6" w:tplc="CCFC91FE">
      <w:numFmt w:val="bullet"/>
      <w:lvlText w:val="•"/>
      <w:lvlJc w:val="left"/>
      <w:pPr>
        <w:ind w:left="4902" w:hanging="589"/>
      </w:pPr>
      <w:rPr>
        <w:rFonts w:hint="default"/>
        <w:lang w:val="en-US" w:eastAsia="en-US" w:bidi="ar-SA"/>
      </w:rPr>
    </w:lvl>
    <w:lvl w:ilvl="7" w:tplc="2A289850">
      <w:numFmt w:val="bullet"/>
      <w:lvlText w:val="•"/>
      <w:lvlJc w:val="left"/>
      <w:pPr>
        <w:ind w:left="5478" w:hanging="589"/>
      </w:pPr>
      <w:rPr>
        <w:rFonts w:hint="default"/>
        <w:lang w:val="en-US" w:eastAsia="en-US" w:bidi="ar-SA"/>
      </w:rPr>
    </w:lvl>
    <w:lvl w:ilvl="8" w:tplc="A89CFBF4">
      <w:numFmt w:val="bullet"/>
      <w:lvlText w:val="•"/>
      <w:lvlJc w:val="left"/>
      <w:pPr>
        <w:ind w:left="6055" w:hanging="589"/>
      </w:pPr>
      <w:rPr>
        <w:rFonts w:hint="default"/>
        <w:lang w:val="en-US" w:eastAsia="en-US" w:bidi="ar-SA"/>
      </w:rPr>
    </w:lvl>
  </w:abstractNum>
  <w:abstractNum w:abstractNumId="11" w15:restartNumberingAfterBreak="0">
    <w:nsid w:val="1B345EBD"/>
    <w:multiLevelType w:val="hybridMultilevel"/>
    <w:tmpl w:val="6ABE7AA6"/>
    <w:lvl w:ilvl="0" w:tplc="C17890E0">
      <w:start w:val="1"/>
      <w:numFmt w:val="lowerLetter"/>
      <w:lvlText w:val="(%1)"/>
      <w:lvlJc w:val="left"/>
      <w:pPr>
        <w:ind w:left="924" w:hanging="6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D627CF3"/>
    <w:multiLevelType w:val="hybridMultilevel"/>
    <w:tmpl w:val="BC049042"/>
    <w:lvl w:ilvl="0" w:tplc="E6F86B3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1ED86F42"/>
    <w:multiLevelType w:val="hybridMultilevel"/>
    <w:tmpl w:val="C9988106"/>
    <w:lvl w:ilvl="0" w:tplc="D95A051E">
      <w:start w:val="1"/>
      <w:numFmt w:val="decimal"/>
      <w:lvlText w:val="(%1)"/>
      <w:lvlJc w:val="left"/>
      <w:pPr>
        <w:ind w:left="3300" w:hanging="360"/>
      </w:pPr>
      <w:rPr>
        <w:rFonts w:hint="default"/>
      </w:rPr>
    </w:lvl>
    <w:lvl w:ilvl="1" w:tplc="34090019" w:tentative="1">
      <w:start w:val="1"/>
      <w:numFmt w:val="lowerLetter"/>
      <w:lvlText w:val="%2."/>
      <w:lvlJc w:val="left"/>
      <w:pPr>
        <w:ind w:left="4020" w:hanging="360"/>
      </w:pPr>
    </w:lvl>
    <w:lvl w:ilvl="2" w:tplc="3409001B" w:tentative="1">
      <w:start w:val="1"/>
      <w:numFmt w:val="lowerRoman"/>
      <w:lvlText w:val="%3."/>
      <w:lvlJc w:val="right"/>
      <w:pPr>
        <w:ind w:left="4740" w:hanging="180"/>
      </w:pPr>
    </w:lvl>
    <w:lvl w:ilvl="3" w:tplc="3409000F" w:tentative="1">
      <w:start w:val="1"/>
      <w:numFmt w:val="decimal"/>
      <w:lvlText w:val="%4."/>
      <w:lvlJc w:val="left"/>
      <w:pPr>
        <w:ind w:left="5460" w:hanging="360"/>
      </w:pPr>
    </w:lvl>
    <w:lvl w:ilvl="4" w:tplc="34090019" w:tentative="1">
      <w:start w:val="1"/>
      <w:numFmt w:val="lowerLetter"/>
      <w:lvlText w:val="%5."/>
      <w:lvlJc w:val="left"/>
      <w:pPr>
        <w:ind w:left="6180" w:hanging="360"/>
      </w:pPr>
    </w:lvl>
    <w:lvl w:ilvl="5" w:tplc="3409001B" w:tentative="1">
      <w:start w:val="1"/>
      <w:numFmt w:val="lowerRoman"/>
      <w:lvlText w:val="%6."/>
      <w:lvlJc w:val="right"/>
      <w:pPr>
        <w:ind w:left="6900" w:hanging="180"/>
      </w:pPr>
    </w:lvl>
    <w:lvl w:ilvl="6" w:tplc="3409000F" w:tentative="1">
      <w:start w:val="1"/>
      <w:numFmt w:val="decimal"/>
      <w:lvlText w:val="%7."/>
      <w:lvlJc w:val="left"/>
      <w:pPr>
        <w:ind w:left="7620" w:hanging="360"/>
      </w:pPr>
    </w:lvl>
    <w:lvl w:ilvl="7" w:tplc="34090019" w:tentative="1">
      <w:start w:val="1"/>
      <w:numFmt w:val="lowerLetter"/>
      <w:lvlText w:val="%8."/>
      <w:lvlJc w:val="left"/>
      <w:pPr>
        <w:ind w:left="8340" w:hanging="360"/>
      </w:pPr>
    </w:lvl>
    <w:lvl w:ilvl="8" w:tplc="3409001B" w:tentative="1">
      <w:start w:val="1"/>
      <w:numFmt w:val="lowerRoman"/>
      <w:lvlText w:val="%9."/>
      <w:lvlJc w:val="right"/>
      <w:pPr>
        <w:ind w:left="9060" w:hanging="180"/>
      </w:pPr>
    </w:lvl>
  </w:abstractNum>
  <w:abstractNum w:abstractNumId="14" w15:restartNumberingAfterBreak="0">
    <w:nsid w:val="24243994"/>
    <w:multiLevelType w:val="hybridMultilevel"/>
    <w:tmpl w:val="C262A178"/>
    <w:lvl w:ilvl="0" w:tplc="C5A4CA48">
      <w:start w:val="1"/>
      <w:numFmt w:val="lowerLetter"/>
      <w:lvlText w:val="(%1)"/>
      <w:lvlJc w:val="left"/>
      <w:pPr>
        <w:ind w:left="825" w:hanging="46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8E35071"/>
    <w:multiLevelType w:val="hybridMultilevel"/>
    <w:tmpl w:val="7FA0B7DE"/>
    <w:lvl w:ilvl="0" w:tplc="3034862E">
      <w:start w:val="1"/>
      <w:numFmt w:val="lowerLetter"/>
      <w:lvlText w:val="%1."/>
      <w:lvlJc w:val="left"/>
      <w:pPr>
        <w:ind w:left="720" w:hanging="360"/>
      </w:pPr>
      <w:rPr>
        <w:rFonts w:ascii="Arial" w:eastAsiaTheme="minorHAnsi" w:hAnsi="Arial" w:cs="Arial"/>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76CCF"/>
    <w:multiLevelType w:val="hybridMultilevel"/>
    <w:tmpl w:val="BAA042DE"/>
    <w:lvl w:ilvl="0" w:tplc="8D8A8BCC">
      <w:start w:val="1"/>
      <w:numFmt w:val="lowerLetter"/>
      <w:lvlText w:val="(%1)"/>
      <w:lvlJc w:val="left"/>
      <w:pPr>
        <w:ind w:left="786" w:hanging="360"/>
      </w:pPr>
      <w:rPr>
        <w:rFonts w:ascii="Arial" w:eastAsiaTheme="minorHAnsi" w:hAnsi="Arial" w:cs="Arial"/>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7" w15:restartNumberingAfterBreak="0">
    <w:nsid w:val="29DF1AF4"/>
    <w:multiLevelType w:val="hybridMultilevel"/>
    <w:tmpl w:val="E882849E"/>
    <w:lvl w:ilvl="0" w:tplc="4162A60C">
      <w:start w:val="1"/>
      <w:numFmt w:val="lowerLetter"/>
      <w:lvlText w:val="(%1)"/>
      <w:lvlJc w:val="left"/>
      <w:pPr>
        <w:ind w:left="1480" w:hanging="519"/>
      </w:pPr>
      <w:rPr>
        <w:rFonts w:ascii="Arial" w:eastAsia="Arial MT" w:hAnsi="Arial" w:cs="Arial" w:hint="default"/>
        <w:w w:val="101"/>
        <w:sz w:val="24"/>
        <w:szCs w:val="24"/>
        <w:lang w:val="en-US" w:eastAsia="en-US" w:bidi="ar-SA"/>
      </w:rPr>
    </w:lvl>
    <w:lvl w:ilvl="1" w:tplc="143CAE2C">
      <w:numFmt w:val="bullet"/>
      <w:lvlText w:val="•"/>
      <w:lvlJc w:val="left"/>
      <w:pPr>
        <w:ind w:left="2444" w:hanging="519"/>
      </w:pPr>
      <w:rPr>
        <w:rFonts w:hint="default"/>
        <w:lang w:val="en-US" w:eastAsia="en-US" w:bidi="ar-SA"/>
      </w:rPr>
    </w:lvl>
    <w:lvl w:ilvl="2" w:tplc="7862D48E">
      <w:numFmt w:val="bullet"/>
      <w:lvlText w:val="•"/>
      <w:lvlJc w:val="left"/>
      <w:pPr>
        <w:ind w:left="3408" w:hanging="519"/>
      </w:pPr>
      <w:rPr>
        <w:rFonts w:hint="default"/>
        <w:lang w:val="en-US" w:eastAsia="en-US" w:bidi="ar-SA"/>
      </w:rPr>
    </w:lvl>
    <w:lvl w:ilvl="3" w:tplc="E106226A">
      <w:numFmt w:val="bullet"/>
      <w:lvlText w:val="•"/>
      <w:lvlJc w:val="left"/>
      <w:pPr>
        <w:ind w:left="4372" w:hanging="519"/>
      </w:pPr>
      <w:rPr>
        <w:rFonts w:hint="default"/>
        <w:lang w:val="en-US" w:eastAsia="en-US" w:bidi="ar-SA"/>
      </w:rPr>
    </w:lvl>
    <w:lvl w:ilvl="4" w:tplc="7DDE5272">
      <w:numFmt w:val="bullet"/>
      <w:lvlText w:val="•"/>
      <w:lvlJc w:val="left"/>
      <w:pPr>
        <w:ind w:left="5336" w:hanging="519"/>
      </w:pPr>
      <w:rPr>
        <w:rFonts w:hint="default"/>
        <w:lang w:val="en-US" w:eastAsia="en-US" w:bidi="ar-SA"/>
      </w:rPr>
    </w:lvl>
    <w:lvl w:ilvl="5" w:tplc="5F6C3108">
      <w:numFmt w:val="bullet"/>
      <w:lvlText w:val="•"/>
      <w:lvlJc w:val="left"/>
      <w:pPr>
        <w:ind w:left="6300" w:hanging="519"/>
      </w:pPr>
      <w:rPr>
        <w:rFonts w:hint="default"/>
        <w:lang w:val="en-US" w:eastAsia="en-US" w:bidi="ar-SA"/>
      </w:rPr>
    </w:lvl>
    <w:lvl w:ilvl="6" w:tplc="7448805A">
      <w:numFmt w:val="bullet"/>
      <w:lvlText w:val="•"/>
      <w:lvlJc w:val="left"/>
      <w:pPr>
        <w:ind w:left="7264" w:hanging="519"/>
      </w:pPr>
      <w:rPr>
        <w:rFonts w:hint="default"/>
        <w:lang w:val="en-US" w:eastAsia="en-US" w:bidi="ar-SA"/>
      </w:rPr>
    </w:lvl>
    <w:lvl w:ilvl="7" w:tplc="89ACFB2C">
      <w:numFmt w:val="bullet"/>
      <w:lvlText w:val="•"/>
      <w:lvlJc w:val="left"/>
      <w:pPr>
        <w:ind w:left="8228" w:hanging="519"/>
      </w:pPr>
      <w:rPr>
        <w:rFonts w:hint="default"/>
        <w:lang w:val="en-US" w:eastAsia="en-US" w:bidi="ar-SA"/>
      </w:rPr>
    </w:lvl>
    <w:lvl w:ilvl="8" w:tplc="701E9228">
      <w:numFmt w:val="bullet"/>
      <w:lvlText w:val="•"/>
      <w:lvlJc w:val="left"/>
      <w:pPr>
        <w:ind w:left="9192" w:hanging="519"/>
      </w:pPr>
      <w:rPr>
        <w:rFonts w:hint="default"/>
        <w:lang w:val="en-US" w:eastAsia="en-US" w:bidi="ar-SA"/>
      </w:rPr>
    </w:lvl>
  </w:abstractNum>
  <w:abstractNum w:abstractNumId="18" w15:restartNumberingAfterBreak="0">
    <w:nsid w:val="3104268B"/>
    <w:multiLevelType w:val="hybridMultilevel"/>
    <w:tmpl w:val="EC8EADFA"/>
    <w:lvl w:ilvl="0" w:tplc="734E0E90">
      <w:start w:val="1"/>
      <w:numFmt w:val="lowerLetter"/>
      <w:lvlText w:val="(%1)"/>
      <w:lvlJc w:val="left"/>
      <w:pPr>
        <w:ind w:left="786" w:hanging="360"/>
      </w:pPr>
      <w:rPr>
        <w:rFonts w:hint="default"/>
      </w:rPr>
    </w:lvl>
    <w:lvl w:ilvl="1" w:tplc="48090019">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9" w15:restartNumberingAfterBreak="0">
    <w:nsid w:val="31E83FDC"/>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20" w15:restartNumberingAfterBreak="0">
    <w:nsid w:val="3BF5721B"/>
    <w:multiLevelType w:val="hybridMultilevel"/>
    <w:tmpl w:val="365266D8"/>
    <w:lvl w:ilvl="0" w:tplc="132CF2F4">
      <w:start w:val="1"/>
      <w:numFmt w:val="lowerLetter"/>
      <w:lvlText w:val="(%1)"/>
      <w:lvlJc w:val="left"/>
      <w:pPr>
        <w:ind w:left="2220" w:hanging="78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1" w15:restartNumberingAfterBreak="0">
    <w:nsid w:val="40B93306"/>
    <w:multiLevelType w:val="hybridMultilevel"/>
    <w:tmpl w:val="F00A6644"/>
    <w:lvl w:ilvl="0" w:tplc="D468117E">
      <w:start w:val="1"/>
      <w:numFmt w:val="lowerRoman"/>
      <w:lvlText w:val="(%1)"/>
      <w:lvlJc w:val="left"/>
      <w:pPr>
        <w:ind w:left="1440" w:hanging="720"/>
      </w:pPr>
      <w:rPr>
        <w:rFonts w:ascii="Arial MT" w:eastAsia="Arial MT" w:hAnsi="Arial MT" w:cs="Arial MT" w:hint="defaul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ABD75D9"/>
    <w:multiLevelType w:val="hybridMultilevel"/>
    <w:tmpl w:val="99FCCE76"/>
    <w:lvl w:ilvl="0" w:tplc="4966612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AF143A0"/>
    <w:multiLevelType w:val="hybridMultilevel"/>
    <w:tmpl w:val="327C2980"/>
    <w:lvl w:ilvl="0" w:tplc="C1789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005BB"/>
    <w:multiLevelType w:val="hybridMultilevel"/>
    <w:tmpl w:val="05E228BE"/>
    <w:lvl w:ilvl="0" w:tplc="9A1C8D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52694C1E"/>
    <w:multiLevelType w:val="hybridMultilevel"/>
    <w:tmpl w:val="F86601DC"/>
    <w:lvl w:ilvl="0" w:tplc="1164B08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567C1803"/>
    <w:multiLevelType w:val="hybridMultilevel"/>
    <w:tmpl w:val="B9903F72"/>
    <w:lvl w:ilvl="0" w:tplc="07BC1106">
      <w:start w:val="1"/>
      <w:numFmt w:val="decimal"/>
      <w:lvlText w:val="(%1)"/>
      <w:lvlJc w:val="left"/>
      <w:pPr>
        <w:ind w:left="3345" w:hanging="360"/>
      </w:pPr>
      <w:rPr>
        <w:rFonts w:hint="default"/>
        <w:b w:val="0"/>
        <w:i w:val="0"/>
      </w:rPr>
    </w:lvl>
    <w:lvl w:ilvl="1" w:tplc="34090019" w:tentative="1">
      <w:start w:val="1"/>
      <w:numFmt w:val="lowerLetter"/>
      <w:lvlText w:val="%2."/>
      <w:lvlJc w:val="left"/>
      <w:pPr>
        <w:ind w:left="4065" w:hanging="360"/>
      </w:pPr>
    </w:lvl>
    <w:lvl w:ilvl="2" w:tplc="3409001B" w:tentative="1">
      <w:start w:val="1"/>
      <w:numFmt w:val="lowerRoman"/>
      <w:lvlText w:val="%3."/>
      <w:lvlJc w:val="right"/>
      <w:pPr>
        <w:ind w:left="4785" w:hanging="180"/>
      </w:pPr>
    </w:lvl>
    <w:lvl w:ilvl="3" w:tplc="3409000F" w:tentative="1">
      <w:start w:val="1"/>
      <w:numFmt w:val="decimal"/>
      <w:lvlText w:val="%4."/>
      <w:lvlJc w:val="left"/>
      <w:pPr>
        <w:ind w:left="5505" w:hanging="360"/>
      </w:pPr>
    </w:lvl>
    <w:lvl w:ilvl="4" w:tplc="34090019" w:tentative="1">
      <w:start w:val="1"/>
      <w:numFmt w:val="lowerLetter"/>
      <w:lvlText w:val="%5."/>
      <w:lvlJc w:val="left"/>
      <w:pPr>
        <w:ind w:left="6225" w:hanging="360"/>
      </w:pPr>
    </w:lvl>
    <w:lvl w:ilvl="5" w:tplc="3409001B" w:tentative="1">
      <w:start w:val="1"/>
      <w:numFmt w:val="lowerRoman"/>
      <w:lvlText w:val="%6."/>
      <w:lvlJc w:val="right"/>
      <w:pPr>
        <w:ind w:left="6945" w:hanging="180"/>
      </w:pPr>
    </w:lvl>
    <w:lvl w:ilvl="6" w:tplc="3409000F" w:tentative="1">
      <w:start w:val="1"/>
      <w:numFmt w:val="decimal"/>
      <w:lvlText w:val="%7."/>
      <w:lvlJc w:val="left"/>
      <w:pPr>
        <w:ind w:left="7665" w:hanging="360"/>
      </w:pPr>
    </w:lvl>
    <w:lvl w:ilvl="7" w:tplc="34090019" w:tentative="1">
      <w:start w:val="1"/>
      <w:numFmt w:val="lowerLetter"/>
      <w:lvlText w:val="%8."/>
      <w:lvlJc w:val="left"/>
      <w:pPr>
        <w:ind w:left="8385" w:hanging="360"/>
      </w:pPr>
    </w:lvl>
    <w:lvl w:ilvl="8" w:tplc="3409001B" w:tentative="1">
      <w:start w:val="1"/>
      <w:numFmt w:val="lowerRoman"/>
      <w:lvlText w:val="%9."/>
      <w:lvlJc w:val="right"/>
      <w:pPr>
        <w:ind w:left="9105" w:hanging="180"/>
      </w:pPr>
    </w:lvl>
  </w:abstractNum>
  <w:abstractNum w:abstractNumId="27" w15:restartNumberingAfterBreak="0">
    <w:nsid w:val="5C2F3AD6"/>
    <w:multiLevelType w:val="hybridMultilevel"/>
    <w:tmpl w:val="FBF0C274"/>
    <w:lvl w:ilvl="0" w:tplc="7506D11A">
      <w:start w:val="1"/>
      <w:numFmt w:val="lowerLetter"/>
      <w:lvlText w:val="(%1)"/>
      <w:lvlJc w:val="left"/>
      <w:pPr>
        <w:ind w:left="72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5E8444E5"/>
    <w:multiLevelType w:val="hybridMultilevel"/>
    <w:tmpl w:val="7624C95C"/>
    <w:lvl w:ilvl="0" w:tplc="E53023D6">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5D46BDD8">
      <w:start w:val="1"/>
      <w:numFmt w:val="lowerRoman"/>
      <w:lvlText w:val="(%2)"/>
      <w:lvlJc w:val="left"/>
      <w:pPr>
        <w:ind w:left="2005" w:hanging="512"/>
      </w:pPr>
      <w:rPr>
        <w:rFonts w:ascii="Arial" w:eastAsia="Arial MT" w:hAnsi="Arial" w:cs="Arial" w:hint="default"/>
        <w:w w:val="101"/>
        <w:sz w:val="24"/>
        <w:szCs w:val="24"/>
        <w:lang w:val="en-US" w:eastAsia="en-US" w:bidi="ar-SA"/>
      </w:rPr>
    </w:lvl>
    <w:lvl w:ilvl="2" w:tplc="5D063536">
      <w:numFmt w:val="bullet"/>
      <w:lvlText w:val="•"/>
      <w:lvlJc w:val="left"/>
      <w:pPr>
        <w:ind w:left="2576" w:hanging="512"/>
      </w:pPr>
      <w:rPr>
        <w:rFonts w:hint="default"/>
        <w:lang w:val="en-US" w:eastAsia="en-US" w:bidi="ar-SA"/>
      </w:rPr>
    </w:lvl>
    <w:lvl w:ilvl="3" w:tplc="A1188888">
      <w:numFmt w:val="bullet"/>
      <w:lvlText w:val="•"/>
      <w:lvlJc w:val="left"/>
      <w:pPr>
        <w:ind w:left="3152" w:hanging="512"/>
      </w:pPr>
      <w:rPr>
        <w:rFonts w:hint="default"/>
        <w:lang w:val="en-US" w:eastAsia="en-US" w:bidi="ar-SA"/>
      </w:rPr>
    </w:lvl>
    <w:lvl w:ilvl="4" w:tplc="2C16C32A">
      <w:numFmt w:val="bullet"/>
      <w:lvlText w:val="•"/>
      <w:lvlJc w:val="left"/>
      <w:pPr>
        <w:ind w:left="3729" w:hanging="512"/>
      </w:pPr>
      <w:rPr>
        <w:rFonts w:hint="default"/>
        <w:lang w:val="en-US" w:eastAsia="en-US" w:bidi="ar-SA"/>
      </w:rPr>
    </w:lvl>
    <w:lvl w:ilvl="5" w:tplc="B0F2AADE">
      <w:numFmt w:val="bullet"/>
      <w:lvlText w:val="•"/>
      <w:lvlJc w:val="left"/>
      <w:pPr>
        <w:ind w:left="4305" w:hanging="512"/>
      </w:pPr>
      <w:rPr>
        <w:rFonts w:hint="default"/>
        <w:lang w:val="en-US" w:eastAsia="en-US" w:bidi="ar-SA"/>
      </w:rPr>
    </w:lvl>
    <w:lvl w:ilvl="6" w:tplc="AD5E790C">
      <w:numFmt w:val="bullet"/>
      <w:lvlText w:val="•"/>
      <w:lvlJc w:val="left"/>
      <w:pPr>
        <w:ind w:left="4882" w:hanging="512"/>
      </w:pPr>
      <w:rPr>
        <w:rFonts w:hint="default"/>
        <w:lang w:val="en-US" w:eastAsia="en-US" w:bidi="ar-SA"/>
      </w:rPr>
    </w:lvl>
    <w:lvl w:ilvl="7" w:tplc="27D0C626">
      <w:numFmt w:val="bullet"/>
      <w:lvlText w:val="•"/>
      <w:lvlJc w:val="left"/>
      <w:pPr>
        <w:ind w:left="5458" w:hanging="512"/>
      </w:pPr>
      <w:rPr>
        <w:rFonts w:hint="default"/>
        <w:lang w:val="en-US" w:eastAsia="en-US" w:bidi="ar-SA"/>
      </w:rPr>
    </w:lvl>
    <w:lvl w:ilvl="8" w:tplc="235C0300">
      <w:numFmt w:val="bullet"/>
      <w:lvlText w:val="•"/>
      <w:lvlJc w:val="left"/>
      <w:pPr>
        <w:ind w:left="6035" w:hanging="512"/>
      </w:pPr>
      <w:rPr>
        <w:rFonts w:hint="default"/>
        <w:lang w:val="en-US" w:eastAsia="en-US" w:bidi="ar-SA"/>
      </w:rPr>
    </w:lvl>
  </w:abstractNum>
  <w:abstractNum w:abstractNumId="29" w15:restartNumberingAfterBreak="0">
    <w:nsid w:val="601A0492"/>
    <w:multiLevelType w:val="hybridMultilevel"/>
    <w:tmpl w:val="9F0AC9E6"/>
    <w:lvl w:ilvl="0" w:tplc="199CD676">
      <w:start w:val="1"/>
      <w:numFmt w:val="lowerLetter"/>
      <w:lvlText w:val="(%1)"/>
      <w:lvlJc w:val="left"/>
      <w:pPr>
        <w:ind w:left="1480" w:hanging="489"/>
      </w:pPr>
      <w:rPr>
        <w:rFonts w:ascii="Arial" w:eastAsia="Arial MT" w:hAnsi="Arial" w:cs="Arial" w:hint="default"/>
        <w:w w:val="101"/>
        <w:sz w:val="24"/>
        <w:szCs w:val="24"/>
        <w:lang w:val="en-US" w:eastAsia="en-US" w:bidi="ar-SA"/>
      </w:rPr>
    </w:lvl>
    <w:lvl w:ilvl="1" w:tplc="91DC088A">
      <w:numFmt w:val="bullet"/>
      <w:lvlText w:val="•"/>
      <w:lvlJc w:val="left"/>
      <w:pPr>
        <w:ind w:left="2444" w:hanging="489"/>
      </w:pPr>
      <w:rPr>
        <w:rFonts w:hint="default"/>
        <w:lang w:val="en-US" w:eastAsia="en-US" w:bidi="ar-SA"/>
      </w:rPr>
    </w:lvl>
    <w:lvl w:ilvl="2" w:tplc="DD84B650">
      <w:numFmt w:val="bullet"/>
      <w:lvlText w:val="•"/>
      <w:lvlJc w:val="left"/>
      <w:pPr>
        <w:ind w:left="3408" w:hanging="489"/>
      </w:pPr>
      <w:rPr>
        <w:rFonts w:hint="default"/>
        <w:lang w:val="en-US" w:eastAsia="en-US" w:bidi="ar-SA"/>
      </w:rPr>
    </w:lvl>
    <w:lvl w:ilvl="3" w:tplc="ADDC6736">
      <w:numFmt w:val="bullet"/>
      <w:lvlText w:val="•"/>
      <w:lvlJc w:val="left"/>
      <w:pPr>
        <w:ind w:left="4372" w:hanging="489"/>
      </w:pPr>
      <w:rPr>
        <w:rFonts w:hint="default"/>
        <w:lang w:val="en-US" w:eastAsia="en-US" w:bidi="ar-SA"/>
      </w:rPr>
    </w:lvl>
    <w:lvl w:ilvl="4" w:tplc="068ED48A">
      <w:numFmt w:val="bullet"/>
      <w:lvlText w:val="•"/>
      <w:lvlJc w:val="left"/>
      <w:pPr>
        <w:ind w:left="5336" w:hanging="489"/>
      </w:pPr>
      <w:rPr>
        <w:rFonts w:hint="default"/>
        <w:lang w:val="en-US" w:eastAsia="en-US" w:bidi="ar-SA"/>
      </w:rPr>
    </w:lvl>
    <w:lvl w:ilvl="5" w:tplc="29A29E56">
      <w:numFmt w:val="bullet"/>
      <w:lvlText w:val="•"/>
      <w:lvlJc w:val="left"/>
      <w:pPr>
        <w:ind w:left="6300" w:hanging="489"/>
      </w:pPr>
      <w:rPr>
        <w:rFonts w:hint="default"/>
        <w:lang w:val="en-US" w:eastAsia="en-US" w:bidi="ar-SA"/>
      </w:rPr>
    </w:lvl>
    <w:lvl w:ilvl="6" w:tplc="CEF044D8">
      <w:numFmt w:val="bullet"/>
      <w:lvlText w:val="•"/>
      <w:lvlJc w:val="left"/>
      <w:pPr>
        <w:ind w:left="7264" w:hanging="489"/>
      </w:pPr>
      <w:rPr>
        <w:rFonts w:hint="default"/>
        <w:lang w:val="en-US" w:eastAsia="en-US" w:bidi="ar-SA"/>
      </w:rPr>
    </w:lvl>
    <w:lvl w:ilvl="7" w:tplc="74845F3C">
      <w:numFmt w:val="bullet"/>
      <w:lvlText w:val="•"/>
      <w:lvlJc w:val="left"/>
      <w:pPr>
        <w:ind w:left="8228" w:hanging="489"/>
      </w:pPr>
      <w:rPr>
        <w:rFonts w:hint="default"/>
        <w:lang w:val="en-US" w:eastAsia="en-US" w:bidi="ar-SA"/>
      </w:rPr>
    </w:lvl>
    <w:lvl w:ilvl="8" w:tplc="0E32D436">
      <w:numFmt w:val="bullet"/>
      <w:lvlText w:val="•"/>
      <w:lvlJc w:val="left"/>
      <w:pPr>
        <w:ind w:left="9192" w:hanging="489"/>
      </w:pPr>
      <w:rPr>
        <w:rFonts w:hint="default"/>
        <w:lang w:val="en-US" w:eastAsia="en-US" w:bidi="ar-SA"/>
      </w:rPr>
    </w:lvl>
  </w:abstractNum>
  <w:abstractNum w:abstractNumId="30" w15:restartNumberingAfterBreak="0">
    <w:nsid w:val="63A74486"/>
    <w:multiLevelType w:val="hybridMultilevel"/>
    <w:tmpl w:val="8688B64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64FA104B"/>
    <w:multiLevelType w:val="hybridMultilevel"/>
    <w:tmpl w:val="AF5AA172"/>
    <w:lvl w:ilvl="0" w:tplc="34090019">
      <w:start w:val="1"/>
      <w:numFmt w:val="lowerLetter"/>
      <w:lvlText w:val="%1."/>
      <w:lvlJc w:val="left"/>
      <w:pPr>
        <w:ind w:left="720" w:hanging="360"/>
      </w:pPr>
      <w:rPr>
        <w:rFonts w:hint="default"/>
      </w:rPr>
    </w:lvl>
    <w:lvl w:ilvl="1" w:tplc="3409001B">
      <w:start w:val="1"/>
      <w:numFmt w:val="lowerRoman"/>
      <w:lvlText w:val="%2."/>
      <w:lvlJc w:val="righ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6B142DA6"/>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33" w15:restartNumberingAfterBreak="0">
    <w:nsid w:val="76254D32"/>
    <w:multiLevelType w:val="hybridMultilevel"/>
    <w:tmpl w:val="3C866C0E"/>
    <w:lvl w:ilvl="0" w:tplc="4E2A2246">
      <w:start w:val="1"/>
      <w:numFmt w:val="lowerRoman"/>
      <w:lvlText w:val="(%1)"/>
      <w:lvlJc w:val="left"/>
      <w:pPr>
        <w:ind w:left="1545" w:hanging="720"/>
      </w:pPr>
      <w:rPr>
        <w:rFonts w:hint="default"/>
      </w:rPr>
    </w:lvl>
    <w:lvl w:ilvl="1" w:tplc="48090019" w:tentative="1">
      <w:start w:val="1"/>
      <w:numFmt w:val="lowerLetter"/>
      <w:lvlText w:val="%2."/>
      <w:lvlJc w:val="left"/>
      <w:pPr>
        <w:ind w:left="1905" w:hanging="360"/>
      </w:pPr>
    </w:lvl>
    <w:lvl w:ilvl="2" w:tplc="4809001B" w:tentative="1">
      <w:start w:val="1"/>
      <w:numFmt w:val="lowerRoman"/>
      <w:lvlText w:val="%3."/>
      <w:lvlJc w:val="right"/>
      <w:pPr>
        <w:ind w:left="2625" w:hanging="180"/>
      </w:pPr>
    </w:lvl>
    <w:lvl w:ilvl="3" w:tplc="4809000F" w:tentative="1">
      <w:start w:val="1"/>
      <w:numFmt w:val="decimal"/>
      <w:lvlText w:val="%4."/>
      <w:lvlJc w:val="left"/>
      <w:pPr>
        <w:ind w:left="3345" w:hanging="360"/>
      </w:pPr>
    </w:lvl>
    <w:lvl w:ilvl="4" w:tplc="48090019" w:tentative="1">
      <w:start w:val="1"/>
      <w:numFmt w:val="lowerLetter"/>
      <w:lvlText w:val="%5."/>
      <w:lvlJc w:val="left"/>
      <w:pPr>
        <w:ind w:left="4065" w:hanging="360"/>
      </w:pPr>
    </w:lvl>
    <w:lvl w:ilvl="5" w:tplc="4809001B" w:tentative="1">
      <w:start w:val="1"/>
      <w:numFmt w:val="lowerRoman"/>
      <w:lvlText w:val="%6."/>
      <w:lvlJc w:val="right"/>
      <w:pPr>
        <w:ind w:left="4785" w:hanging="180"/>
      </w:pPr>
    </w:lvl>
    <w:lvl w:ilvl="6" w:tplc="4809000F" w:tentative="1">
      <w:start w:val="1"/>
      <w:numFmt w:val="decimal"/>
      <w:lvlText w:val="%7."/>
      <w:lvlJc w:val="left"/>
      <w:pPr>
        <w:ind w:left="5505" w:hanging="360"/>
      </w:pPr>
    </w:lvl>
    <w:lvl w:ilvl="7" w:tplc="48090019" w:tentative="1">
      <w:start w:val="1"/>
      <w:numFmt w:val="lowerLetter"/>
      <w:lvlText w:val="%8."/>
      <w:lvlJc w:val="left"/>
      <w:pPr>
        <w:ind w:left="6225" w:hanging="360"/>
      </w:pPr>
    </w:lvl>
    <w:lvl w:ilvl="8" w:tplc="4809001B" w:tentative="1">
      <w:start w:val="1"/>
      <w:numFmt w:val="lowerRoman"/>
      <w:lvlText w:val="%9."/>
      <w:lvlJc w:val="right"/>
      <w:pPr>
        <w:ind w:left="6945" w:hanging="180"/>
      </w:pPr>
    </w:lvl>
  </w:abstractNum>
  <w:abstractNum w:abstractNumId="34" w15:restartNumberingAfterBreak="0">
    <w:nsid w:val="799C25EF"/>
    <w:multiLevelType w:val="hybridMultilevel"/>
    <w:tmpl w:val="59FC7B20"/>
    <w:lvl w:ilvl="0" w:tplc="54BE7ABA">
      <w:start w:val="1"/>
      <w:numFmt w:val="lowerRoman"/>
      <w:lvlText w:val="%1."/>
      <w:lvlJc w:val="right"/>
      <w:pPr>
        <w:ind w:left="2705" w:hanging="360"/>
      </w:pPr>
      <w:rPr>
        <w:rFonts w:hint="default"/>
      </w:rPr>
    </w:lvl>
    <w:lvl w:ilvl="1" w:tplc="34090019" w:tentative="1">
      <w:start w:val="1"/>
      <w:numFmt w:val="lowerLetter"/>
      <w:lvlText w:val="%2."/>
      <w:lvlJc w:val="left"/>
      <w:pPr>
        <w:ind w:left="3425" w:hanging="360"/>
      </w:pPr>
    </w:lvl>
    <w:lvl w:ilvl="2" w:tplc="3409001B" w:tentative="1">
      <w:start w:val="1"/>
      <w:numFmt w:val="lowerRoman"/>
      <w:lvlText w:val="%3."/>
      <w:lvlJc w:val="right"/>
      <w:pPr>
        <w:ind w:left="4145" w:hanging="180"/>
      </w:pPr>
    </w:lvl>
    <w:lvl w:ilvl="3" w:tplc="3409000F" w:tentative="1">
      <w:start w:val="1"/>
      <w:numFmt w:val="decimal"/>
      <w:lvlText w:val="%4."/>
      <w:lvlJc w:val="left"/>
      <w:pPr>
        <w:ind w:left="4865" w:hanging="360"/>
      </w:pPr>
    </w:lvl>
    <w:lvl w:ilvl="4" w:tplc="34090019" w:tentative="1">
      <w:start w:val="1"/>
      <w:numFmt w:val="lowerLetter"/>
      <w:lvlText w:val="%5."/>
      <w:lvlJc w:val="left"/>
      <w:pPr>
        <w:ind w:left="5585" w:hanging="360"/>
      </w:pPr>
    </w:lvl>
    <w:lvl w:ilvl="5" w:tplc="3409001B" w:tentative="1">
      <w:start w:val="1"/>
      <w:numFmt w:val="lowerRoman"/>
      <w:lvlText w:val="%6."/>
      <w:lvlJc w:val="right"/>
      <w:pPr>
        <w:ind w:left="6305" w:hanging="180"/>
      </w:pPr>
    </w:lvl>
    <w:lvl w:ilvl="6" w:tplc="3409000F" w:tentative="1">
      <w:start w:val="1"/>
      <w:numFmt w:val="decimal"/>
      <w:lvlText w:val="%7."/>
      <w:lvlJc w:val="left"/>
      <w:pPr>
        <w:ind w:left="7025" w:hanging="360"/>
      </w:pPr>
    </w:lvl>
    <w:lvl w:ilvl="7" w:tplc="34090019" w:tentative="1">
      <w:start w:val="1"/>
      <w:numFmt w:val="lowerLetter"/>
      <w:lvlText w:val="%8."/>
      <w:lvlJc w:val="left"/>
      <w:pPr>
        <w:ind w:left="7745" w:hanging="360"/>
      </w:pPr>
    </w:lvl>
    <w:lvl w:ilvl="8" w:tplc="3409001B" w:tentative="1">
      <w:start w:val="1"/>
      <w:numFmt w:val="lowerRoman"/>
      <w:lvlText w:val="%9."/>
      <w:lvlJc w:val="right"/>
      <w:pPr>
        <w:ind w:left="8465" w:hanging="180"/>
      </w:pPr>
    </w:lvl>
  </w:abstractNum>
  <w:abstractNum w:abstractNumId="35" w15:restartNumberingAfterBreak="0">
    <w:nsid w:val="7B374E5A"/>
    <w:multiLevelType w:val="hybridMultilevel"/>
    <w:tmpl w:val="EBD87488"/>
    <w:lvl w:ilvl="0" w:tplc="6E6A5E0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6" w15:restartNumberingAfterBreak="0">
    <w:nsid w:val="7B6C2ED4"/>
    <w:multiLevelType w:val="hybridMultilevel"/>
    <w:tmpl w:val="8ECA5FEC"/>
    <w:lvl w:ilvl="0" w:tplc="744C155A">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0EFE6A4E">
      <w:numFmt w:val="bullet"/>
      <w:lvlText w:val="•"/>
      <w:lvlJc w:val="left"/>
      <w:pPr>
        <w:ind w:left="2444" w:hanging="512"/>
      </w:pPr>
      <w:rPr>
        <w:rFonts w:hint="default"/>
        <w:lang w:val="en-US" w:eastAsia="en-US" w:bidi="ar-SA"/>
      </w:rPr>
    </w:lvl>
    <w:lvl w:ilvl="2" w:tplc="B8506A64">
      <w:numFmt w:val="bullet"/>
      <w:lvlText w:val="•"/>
      <w:lvlJc w:val="left"/>
      <w:pPr>
        <w:ind w:left="3408" w:hanging="512"/>
      </w:pPr>
      <w:rPr>
        <w:rFonts w:hint="default"/>
        <w:lang w:val="en-US" w:eastAsia="en-US" w:bidi="ar-SA"/>
      </w:rPr>
    </w:lvl>
    <w:lvl w:ilvl="3" w:tplc="F90CED64">
      <w:numFmt w:val="bullet"/>
      <w:lvlText w:val="•"/>
      <w:lvlJc w:val="left"/>
      <w:pPr>
        <w:ind w:left="4372" w:hanging="512"/>
      </w:pPr>
      <w:rPr>
        <w:rFonts w:hint="default"/>
        <w:lang w:val="en-US" w:eastAsia="en-US" w:bidi="ar-SA"/>
      </w:rPr>
    </w:lvl>
    <w:lvl w:ilvl="4" w:tplc="AEA0A7FA">
      <w:numFmt w:val="bullet"/>
      <w:lvlText w:val="•"/>
      <w:lvlJc w:val="left"/>
      <w:pPr>
        <w:ind w:left="5336" w:hanging="512"/>
      </w:pPr>
      <w:rPr>
        <w:rFonts w:hint="default"/>
        <w:lang w:val="en-US" w:eastAsia="en-US" w:bidi="ar-SA"/>
      </w:rPr>
    </w:lvl>
    <w:lvl w:ilvl="5" w:tplc="8B6EA268">
      <w:numFmt w:val="bullet"/>
      <w:lvlText w:val="•"/>
      <w:lvlJc w:val="left"/>
      <w:pPr>
        <w:ind w:left="6300" w:hanging="512"/>
      </w:pPr>
      <w:rPr>
        <w:rFonts w:hint="default"/>
        <w:lang w:val="en-US" w:eastAsia="en-US" w:bidi="ar-SA"/>
      </w:rPr>
    </w:lvl>
    <w:lvl w:ilvl="6" w:tplc="0204B3C2">
      <w:numFmt w:val="bullet"/>
      <w:lvlText w:val="•"/>
      <w:lvlJc w:val="left"/>
      <w:pPr>
        <w:ind w:left="7264" w:hanging="512"/>
      </w:pPr>
      <w:rPr>
        <w:rFonts w:hint="default"/>
        <w:lang w:val="en-US" w:eastAsia="en-US" w:bidi="ar-SA"/>
      </w:rPr>
    </w:lvl>
    <w:lvl w:ilvl="7" w:tplc="B91CE33E">
      <w:numFmt w:val="bullet"/>
      <w:lvlText w:val="•"/>
      <w:lvlJc w:val="left"/>
      <w:pPr>
        <w:ind w:left="8228" w:hanging="512"/>
      </w:pPr>
      <w:rPr>
        <w:rFonts w:hint="default"/>
        <w:lang w:val="en-US" w:eastAsia="en-US" w:bidi="ar-SA"/>
      </w:rPr>
    </w:lvl>
    <w:lvl w:ilvl="8" w:tplc="67EC5AB4">
      <w:numFmt w:val="bullet"/>
      <w:lvlText w:val="•"/>
      <w:lvlJc w:val="left"/>
      <w:pPr>
        <w:ind w:left="9192" w:hanging="512"/>
      </w:pPr>
      <w:rPr>
        <w:rFonts w:hint="default"/>
        <w:lang w:val="en-US" w:eastAsia="en-US" w:bidi="ar-SA"/>
      </w:rPr>
    </w:lvl>
  </w:abstractNum>
  <w:abstractNum w:abstractNumId="37" w15:restartNumberingAfterBreak="0">
    <w:nsid w:val="7D173EF6"/>
    <w:multiLevelType w:val="hybridMultilevel"/>
    <w:tmpl w:val="7FA0B7DE"/>
    <w:lvl w:ilvl="0" w:tplc="FFFFFFFF">
      <w:start w:val="1"/>
      <w:numFmt w:val="lowerLetter"/>
      <w:lvlText w:val="%1."/>
      <w:lvlJc w:val="left"/>
      <w:pPr>
        <w:ind w:left="720" w:hanging="360"/>
      </w:pPr>
      <w:rPr>
        <w:rFonts w:ascii="Arial" w:eastAsiaTheme="minorHAnsi" w:hAnsi="Arial" w:cs="Arial"/>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2751121">
    <w:abstractNumId w:val="34"/>
  </w:num>
  <w:num w:numId="2" w16cid:durableId="1409377145">
    <w:abstractNumId w:val="26"/>
  </w:num>
  <w:num w:numId="3" w16cid:durableId="1709797498">
    <w:abstractNumId w:val="20"/>
  </w:num>
  <w:num w:numId="4" w16cid:durableId="1058939451">
    <w:abstractNumId w:val="9"/>
  </w:num>
  <w:num w:numId="5" w16cid:durableId="159270763">
    <w:abstractNumId w:val="13"/>
  </w:num>
  <w:num w:numId="6" w16cid:durableId="2009939644">
    <w:abstractNumId w:val="1"/>
  </w:num>
  <w:num w:numId="7" w16cid:durableId="2025940443">
    <w:abstractNumId w:val="4"/>
  </w:num>
  <w:num w:numId="8" w16cid:durableId="1079326290">
    <w:abstractNumId w:val="11"/>
  </w:num>
  <w:num w:numId="9" w16cid:durableId="1256400940">
    <w:abstractNumId w:val="27"/>
  </w:num>
  <w:num w:numId="10" w16cid:durableId="1273629011">
    <w:abstractNumId w:val="22"/>
  </w:num>
  <w:num w:numId="11" w16cid:durableId="1542209372">
    <w:abstractNumId w:val="21"/>
  </w:num>
  <w:num w:numId="12" w16cid:durableId="41053420">
    <w:abstractNumId w:val="10"/>
  </w:num>
  <w:num w:numId="13" w16cid:durableId="455098656">
    <w:abstractNumId w:val="23"/>
  </w:num>
  <w:num w:numId="14" w16cid:durableId="627858828">
    <w:abstractNumId w:val="28"/>
  </w:num>
  <w:num w:numId="15" w16cid:durableId="1825124234">
    <w:abstractNumId w:val="29"/>
  </w:num>
  <w:num w:numId="16" w16cid:durableId="959649526">
    <w:abstractNumId w:val="24"/>
  </w:num>
  <w:num w:numId="17" w16cid:durableId="544411089">
    <w:abstractNumId w:val="14"/>
  </w:num>
  <w:num w:numId="18" w16cid:durableId="1338507322">
    <w:abstractNumId w:val="33"/>
  </w:num>
  <w:num w:numId="19" w16cid:durableId="1936553317">
    <w:abstractNumId w:val="32"/>
  </w:num>
  <w:num w:numId="20" w16cid:durableId="16736487">
    <w:abstractNumId w:val="19"/>
  </w:num>
  <w:num w:numId="21" w16cid:durableId="2012485156">
    <w:abstractNumId w:val="5"/>
  </w:num>
  <w:num w:numId="22" w16cid:durableId="1450927929">
    <w:abstractNumId w:val="3"/>
  </w:num>
  <w:num w:numId="23" w16cid:durableId="1794326489">
    <w:abstractNumId w:val="8"/>
  </w:num>
  <w:num w:numId="24" w16cid:durableId="1226255842">
    <w:abstractNumId w:val="6"/>
  </w:num>
  <w:num w:numId="25" w16cid:durableId="481241405">
    <w:abstractNumId w:val="35"/>
  </w:num>
  <w:num w:numId="26" w16cid:durableId="1088382830">
    <w:abstractNumId w:val="36"/>
  </w:num>
  <w:num w:numId="27" w16cid:durableId="1091120781">
    <w:abstractNumId w:val="2"/>
  </w:num>
  <w:num w:numId="28" w16cid:durableId="764882055">
    <w:abstractNumId w:val="17"/>
  </w:num>
  <w:num w:numId="29" w16cid:durableId="1214778977">
    <w:abstractNumId w:val="18"/>
  </w:num>
  <w:num w:numId="30" w16cid:durableId="2065447246">
    <w:abstractNumId w:val="30"/>
  </w:num>
  <w:num w:numId="31" w16cid:durableId="249700045">
    <w:abstractNumId w:val="15"/>
  </w:num>
  <w:num w:numId="32" w16cid:durableId="1583251252">
    <w:abstractNumId w:val="37"/>
  </w:num>
  <w:num w:numId="33" w16cid:durableId="411006537">
    <w:abstractNumId w:val="31"/>
  </w:num>
  <w:num w:numId="34" w16cid:durableId="2104836638">
    <w:abstractNumId w:val="0"/>
  </w:num>
  <w:num w:numId="35" w16cid:durableId="1225486044">
    <w:abstractNumId w:val="7"/>
  </w:num>
  <w:num w:numId="36" w16cid:durableId="462236801">
    <w:abstractNumId w:val="12"/>
  </w:num>
  <w:num w:numId="37" w16cid:durableId="660432843">
    <w:abstractNumId w:val="16"/>
  </w:num>
  <w:num w:numId="38" w16cid:durableId="3370756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Nja3MDa2NDO0NLFU0lEKTi0uzszPAykwqwUAGWS5eywAAAA="/>
  </w:docVars>
  <w:rsids>
    <w:rsidRoot w:val="00040EFE"/>
    <w:rsid w:val="00014771"/>
    <w:rsid w:val="000350DF"/>
    <w:rsid w:val="000368A5"/>
    <w:rsid w:val="00040EFE"/>
    <w:rsid w:val="00055761"/>
    <w:rsid w:val="0007060A"/>
    <w:rsid w:val="00091AAB"/>
    <w:rsid w:val="00093446"/>
    <w:rsid w:val="000B24B6"/>
    <w:rsid w:val="000B6625"/>
    <w:rsid w:val="000C2E6A"/>
    <w:rsid w:val="00106247"/>
    <w:rsid w:val="00135204"/>
    <w:rsid w:val="001414BB"/>
    <w:rsid w:val="001568F1"/>
    <w:rsid w:val="0017540F"/>
    <w:rsid w:val="00195C99"/>
    <w:rsid w:val="00196E4D"/>
    <w:rsid w:val="001A1143"/>
    <w:rsid w:val="001A3E22"/>
    <w:rsid w:val="001B1078"/>
    <w:rsid w:val="001B1080"/>
    <w:rsid w:val="001D58A6"/>
    <w:rsid w:val="001D6FBF"/>
    <w:rsid w:val="0021487B"/>
    <w:rsid w:val="00225424"/>
    <w:rsid w:val="0026772D"/>
    <w:rsid w:val="0028128B"/>
    <w:rsid w:val="002A180F"/>
    <w:rsid w:val="002C0BAC"/>
    <w:rsid w:val="002C491C"/>
    <w:rsid w:val="00303AD6"/>
    <w:rsid w:val="00335FC6"/>
    <w:rsid w:val="0035078F"/>
    <w:rsid w:val="0037264A"/>
    <w:rsid w:val="003948D3"/>
    <w:rsid w:val="00395B3F"/>
    <w:rsid w:val="003D3447"/>
    <w:rsid w:val="004313AB"/>
    <w:rsid w:val="00437717"/>
    <w:rsid w:val="00440A26"/>
    <w:rsid w:val="00444643"/>
    <w:rsid w:val="00497C4C"/>
    <w:rsid w:val="004A4527"/>
    <w:rsid w:val="004A4D23"/>
    <w:rsid w:val="004B491A"/>
    <w:rsid w:val="004B5A76"/>
    <w:rsid w:val="004D3DB6"/>
    <w:rsid w:val="004E34F2"/>
    <w:rsid w:val="004F73D6"/>
    <w:rsid w:val="00546F6D"/>
    <w:rsid w:val="0057034B"/>
    <w:rsid w:val="00592098"/>
    <w:rsid w:val="00592D51"/>
    <w:rsid w:val="00592EC4"/>
    <w:rsid w:val="005976E3"/>
    <w:rsid w:val="005A2D06"/>
    <w:rsid w:val="005B1484"/>
    <w:rsid w:val="00627EA4"/>
    <w:rsid w:val="00674CD3"/>
    <w:rsid w:val="0068058F"/>
    <w:rsid w:val="00694333"/>
    <w:rsid w:val="007122ED"/>
    <w:rsid w:val="00721BF9"/>
    <w:rsid w:val="00722C44"/>
    <w:rsid w:val="007633D2"/>
    <w:rsid w:val="007B3008"/>
    <w:rsid w:val="007B3274"/>
    <w:rsid w:val="007B4304"/>
    <w:rsid w:val="007B52BB"/>
    <w:rsid w:val="007C4BA9"/>
    <w:rsid w:val="007C7093"/>
    <w:rsid w:val="007E7274"/>
    <w:rsid w:val="007F42F0"/>
    <w:rsid w:val="007F44AE"/>
    <w:rsid w:val="00807C5A"/>
    <w:rsid w:val="00832D28"/>
    <w:rsid w:val="00853AE6"/>
    <w:rsid w:val="0089500E"/>
    <w:rsid w:val="008E351A"/>
    <w:rsid w:val="00904A5C"/>
    <w:rsid w:val="00907709"/>
    <w:rsid w:val="00916033"/>
    <w:rsid w:val="00933B5E"/>
    <w:rsid w:val="00962BD0"/>
    <w:rsid w:val="00967014"/>
    <w:rsid w:val="009915AB"/>
    <w:rsid w:val="009A4D4A"/>
    <w:rsid w:val="009C1676"/>
    <w:rsid w:val="009C28B6"/>
    <w:rsid w:val="009D41CC"/>
    <w:rsid w:val="009E602F"/>
    <w:rsid w:val="00A00060"/>
    <w:rsid w:val="00A0690E"/>
    <w:rsid w:val="00A51781"/>
    <w:rsid w:val="00A952C9"/>
    <w:rsid w:val="00AB0D45"/>
    <w:rsid w:val="00AD7A2A"/>
    <w:rsid w:val="00AE3E5E"/>
    <w:rsid w:val="00AF4F00"/>
    <w:rsid w:val="00AF65F8"/>
    <w:rsid w:val="00B03885"/>
    <w:rsid w:val="00B26EF3"/>
    <w:rsid w:val="00B33A35"/>
    <w:rsid w:val="00B42141"/>
    <w:rsid w:val="00B44AAF"/>
    <w:rsid w:val="00B85D13"/>
    <w:rsid w:val="00B91789"/>
    <w:rsid w:val="00B95ED8"/>
    <w:rsid w:val="00BC18C3"/>
    <w:rsid w:val="00BC4BE4"/>
    <w:rsid w:val="00BF4385"/>
    <w:rsid w:val="00BF7729"/>
    <w:rsid w:val="00C16AEB"/>
    <w:rsid w:val="00C56B86"/>
    <w:rsid w:val="00C615CA"/>
    <w:rsid w:val="00C70F80"/>
    <w:rsid w:val="00C93F9A"/>
    <w:rsid w:val="00CD26BE"/>
    <w:rsid w:val="00CD3C48"/>
    <w:rsid w:val="00D15783"/>
    <w:rsid w:val="00D4301D"/>
    <w:rsid w:val="00D810DB"/>
    <w:rsid w:val="00DA462D"/>
    <w:rsid w:val="00DD2345"/>
    <w:rsid w:val="00DF543B"/>
    <w:rsid w:val="00E07D4E"/>
    <w:rsid w:val="00E34039"/>
    <w:rsid w:val="00E52E07"/>
    <w:rsid w:val="00E829E5"/>
    <w:rsid w:val="00E82BD3"/>
    <w:rsid w:val="00E85B0B"/>
    <w:rsid w:val="00E95390"/>
    <w:rsid w:val="00EA15DD"/>
    <w:rsid w:val="00EA2BDF"/>
    <w:rsid w:val="00F13199"/>
    <w:rsid w:val="00F324DA"/>
    <w:rsid w:val="00F555BC"/>
    <w:rsid w:val="00F745F7"/>
    <w:rsid w:val="00F74FB0"/>
    <w:rsid w:val="00FA216E"/>
    <w:rsid w:val="00FB0F8A"/>
    <w:rsid w:val="00FC5C53"/>
    <w:rsid w:val="00FD111F"/>
    <w:rsid w:val="00FD698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5256A"/>
  <w15:chartTrackingRefBased/>
  <w15:docId w15:val="{DA54BAA5-2D49-423C-8DBD-15EDBCE4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4D23"/>
    <w:pPr>
      <w:widowControl w:val="0"/>
      <w:autoSpaceDE w:val="0"/>
      <w:autoSpaceDN w:val="0"/>
      <w:spacing w:after="0" w:line="240" w:lineRule="auto"/>
      <w:ind w:left="1172" w:right="4112"/>
      <w:jc w:val="center"/>
      <w:outlineLvl w:val="0"/>
    </w:pPr>
    <w:rPr>
      <w:rFonts w:ascii="Arial" w:eastAsia="Arial" w:hAnsi="Arial" w:cs="Arial"/>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EFE"/>
  </w:style>
  <w:style w:type="paragraph" w:styleId="Footer">
    <w:name w:val="footer"/>
    <w:basedOn w:val="Normal"/>
    <w:link w:val="FooterChar"/>
    <w:uiPriority w:val="99"/>
    <w:unhideWhenUsed/>
    <w:rsid w:val="00040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EFE"/>
  </w:style>
  <w:style w:type="paragraph" w:customStyle="1" w:styleId="p2">
    <w:name w:val="p2"/>
    <w:rsid w:val="00040EFE"/>
    <w:pPr>
      <w:pBdr>
        <w:top w:val="nil"/>
        <w:left w:val="nil"/>
        <w:bottom w:val="nil"/>
        <w:right w:val="nil"/>
        <w:between w:val="nil"/>
        <w:bar w:val="nil"/>
      </w:pBdr>
      <w:spacing w:after="0" w:line="240" w:lineRule="auto"/>
    </w:pPr>
    <w:rPr>
      <w:rFonts w:ascii="Verdana" w:eastAsia="Arial Unicode MS" w:hAnsi="Verdana" w:cs="Arial Unicode MS"/>
      <w:color w:val="000000"/>
      <w:sz w:val="17"/>
      <w:szCs w:val="17"/>
      <w:u w:color="000000"/>
      <w:bdr w:val="nil"/>
      <w:lang w:val="en-US"/>
    </w:rPr>
  </w:style>
  <w:style w:type="paragraph" w:customStyle="1" w:styleId="Body">
    <w:name w:val="Body"/>
    <w:rsid w:val="00040EF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styleId="ListParagraph">
    <w:name w:val="List Paragraph"/>
    <w:uiPriority w:val="34"/>
    <w:qFormat/>
    <w:rsid w:val="00040EFE"/>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val="en-US"/>
    </w:rPr>
  </w:style>
  <w:style w:type="paragraph" w:styleId="NoSpacing">
    <w:name w:val="No Spacing"/>
    <w:uiPriority w:val="1"/>
    <w:qFormat/>
    <w:rsid w:val="007B3274"/>
    <w:pPr>
      <w:spacing w:after="0" w:line="240" w:lineRule="auto"/>
    </w:pPr>
    <w:rPr>
      <w:sz w:val="24"/>
      <w:szCs w:val="24"/>
    </w:rPr>
  </w:style>
  <w:style w:type="paragraph" w:styleId="BodyText">
    <w:name w:val="Body Text"/>
    <w:basedOn w:val="Normal"/>
    <w:link w:val="BodyTextChar"/>
    <w:uiPriority w:val="1"/>
    <w:qFormat/>
    <w:rsid w:val="00395B3F"/>
    <w:pPr>
      <w:widowControl w:val="0"/>
      <w:autoSpaceDE w:val="0"/>
      <w:autoSpaceDN w:val="0"/>
      <w:spacing w:after="0" w:line="240" w:lineRule="auto"/>
    </w:pPr>
    <w:rPr>
      <w:rFonts w:ascii="Arial MT" w:eastAsia="Arial MT" w:hAnsi="Arial MT" w:cs="Arial MT"/>
      <w:sz w:val="17"/>
      <w:szCs w:val="17"/>
      <w:lang w:val="en-US"/>
    </w:rPr>
  </w:style>
  <w:style w:type="character" w:customStyle="1" w:styleId="BodyTextChar">
    <w:name w:val="Body Text Char"/>
    <w:basedOn w:val="DefaultParagraphFont"/>
    <w:link w:val="BodyText"/>
    <w:uiPriority w:val="1"/>
    <w:rsid w:val="00395B3F"/>
    <w:rPr>
      <w:rFonts w:ascii="Arial MT" w:eastAsia="Arial MT" w:hAnsi="Arial MT" w:cs="Arial MT"/>
      <w:sz w:val="17"/>
      <w:szCs w:val="17"/>
      <w:lang w:val="en-US"/>
    </w:rPr>
  </w:style>
  <w:style w:type="paragraph" w:styleId="Revision">
    <w:name w:val="Revision"/>
    <w:hidden/>
    <w:uiPriority w:val="99"/>
    <w:semiHidden/>
    <w:rsid w:val="00AF4F00"/>
    <w:pPr>
      <w:spacing w:after="0" w:line="240" w:lineRule="auto"/>
    </w:pPr>
    <w:rPr>
      <w:lang w:val="en-SG"/>
    </w:rPr>
  </w:style>
  <w:style w:type="character" w:customStyle="1" w:styleId="Heading1Char">
    <w:name w:val="Heading 1 Char"/>
    <w:basedOn w:val="DefaultParagraphFont"/>
    <w:link w:val="Heading1"/>
    <w:uiPriority w:val="9"/>
    <w:rsid w:val="004A4D23"/>
    <w:rPr>
      <w:rFonts w:ascii="Arial" w:eastAsia="Arial" w:hAnsi="Arial" w:cs="Arial"/>
      <w:b/>
      <w:bCs/>
      <w:sz w:val="17"/>
      <w:szCs w:val="17"/>
      <w:lang w:val="en-US"/>
    </w:rPr>
  </w:style>
  <w:style w:type="paragraph" w:styleId="FootnoteText">
    <w:name w:val="footnote text"/>
    <w:basedOn w:val="Normal"/>
    <w:link w:val="FootnoteTextChar"/>
    <w:uiPriority w:val="99"/>
    <w:semiHidden/>
    <w:unhideWhenUsed/>
    <w:rsid w:val="00962BD0"/>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962BD0"/>
    <w:rPr>
      <w:rFonts w:ascii="Arial" w:hAnsi="Arial" w:cs="Arial"/>
      <w:sz w:val="20"/>
      <w:szCs w:val="20"/>
    </w:rPr>
  </w:style>
  <w:style w:type="character" w:styleId="FootnoteReference">
    <w:name w:val="footnote reference"/>
    <w:basedOn w:val="DefaultParagraphFont"/>
    <w:uiPriority w:val="99"/>
    <w:semiHidden/>
    <w:unhideWhenUsed/>
    <w:rsid w:val="00962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50599">
      <w:bodyDiv w:val="1"/>
      <w:marLeft w:val="0"/>
      <w:marRight w:val="0"/>
      <w:marTop w:val="0"/>
      <w:marBottom w:val="0"/>
      <w:divBdr>
        <w:top w:val="none" w:sz="0" w:space="0" w:color="auto"/>
        <w:left w:val="none" w:sz="0" w:space="0" w:color="auto"/>
        <w:bottom w:val="none" w:sz="0" w:space="0" w:color="auto"/>
        <w:right w:val="none" w:sz="0" w:space="0" w:color="auto"/>
      </w:divBdr>
      <w:divsChild>
        <w:div w:id="952901466">
          <w:marLeft w:val="0"/>
          <w:marRight w:val="0"/>
          <w:marTop w:val="0"/>
          <w:marBottom w:val="0"/>
          <w:divBdr>
            <w:top w:val="none" w:sz="0" w:space="0" w:color="auto"/>
            <w:left w:val="none" w:sz="0" w:space="0" w:color="auto"/>
            <w:bottom w:val="none" w:sz="0" w:space="0" w:color="auto"/>
            <w:right w:val="none" w:sz="0" w:space="0" w:color="auto"/>
          </w:divBdr>
          <w:divsChild>
            <w:div w:id="373623363">
              <w:marLeft w:val="0"/>
              <w:marRight w:val="0"/>
              <w:marTop w:val="0"/>
              <w:marBottom w:val="0"/>
              <w:divBdr>
                <w:top w:val="none" w:sz="0" w:space="0" w:color="auto"/>
                <w:left w:val="none" w:sz="0" w:space="0" w:color="auto"/>
                <w:bottom w:val="none" w:sz="0" w:space="0" w:color="auto"/>
                <w:right w:val="none" w:sz="0" w:space="0" w:color="auto"/>
              </w:divBdr>
            </w:div>
          </w:divsChild>
        </w:div>
        <w:div w:id="1782608034">
          <w:marLeft w:val="0"/>
          <w:marRight w:val="0"/>
          <w:marTop w:val="0"/>
          <w:marBottom w:val="0"/>
          <w:divBdr>
            <w:top w:val="none" w:sz="0" w:space="0" w:color="auto"/>
            <w:left w:val="none" w:sz="0" w:space="0" w:color="auto"/>
            <w:bottom w:val="none" w:sz="0" w:space="0" w:color="auto"/>
            <w:right w:val="none" w:sz="0" w:space="0" w:color="auto"/>
          </w:divBdr>
          <w:divsChild>
            <w:div w:id="1443917764">
              <w:marLeft w:val="0"/>
              <w:marRight w:val="0"/>
              <w:marTop w:val="0"/>
              <w:marBottom w:val="0"/>
              <w:divBdr>
                <w:top w:val="none" w:sz="0" w:space="0" w:color="auto"/>
                <w:left w:val="none" w:sz="0" w:space="0" w:color="auto"/>
                <w:bottom w:val="none" w:sz="0" w:space="0" w:color="auto"/>
                <w:right w:val="none" w:sz="0" w:space="0" w:color="auto"/>
              </w:divBdr>
            </w:div>
          </w:divsChild>
        </w:div>
        <w:div w:id="1805347703">
          <w:marLeft w:val="0"/>
          <w:marRight w:val="0"/>
          <w:marTop w:val="0"/>
          <w:marBottom w:val="0"/>
          <w:divBdr>
            <w:top w:val="none" w:sz="0" w:space="0" w:color="auto"/>
            <w:left w:val="none" w:sz="0" w:space="0" w:color="auto"/>
            <w:bottom w:val="none" w:sz="0" w:space="0" w:color="auto"/>
            <w:right w:val="none" w:sz="0" w:space="0" w:color="auto"/>
          </w:divBdr>
          <w:divsChild>
            <w:div w:id="596904983">
              <w:marLeft w:val="0"/>
              <w:marRight w:val="0"/>
              <w:marTop w:val="0"/>
              <w:marBottom w:val="0"/>
              <w:divBdr>
                <w:top w:val="none" w:sz="0" w:space="0" w:color="auto"/>
                <w:left w:val="none" w:sz="0" w:space="0" w:color="auto"/>
                <w:bottom w:val="none" w:sz="0" w:space="0" w:color="auto"/>
                <w:right w:val="none" w:sz="0" w:space="0" w:color="auto"/>
              </w:divBdr>
            </w:div>
          </w:divsChild>
        </w:div>
        <w:div w:id="396392740">
          <w:marLeft w:val="0"/>
          <w:marRight w:val="0"/>
          <w:marTop w:val="0"/>
          <w:marBottom w:val="0"/>
          <w:divBdr>
            <w:top w:val="none" w:sz="0" w:space="0" w:color="auto"/>
            <w:left w:val="none" w:sz="0" w:space="0" w:color="auto"/>
            <w:bottom w:val="none" w:sz="0" w:space="0" w:color="auto"/>
            <w:right w:val="none" w:sz="0" w:space="0" w:color="auto"/>
          </w:divBdr>
          <w:divsChild>
            <w:div w:id="1345084969">
              <w:marLeft w:val="0"/>
              <w:marRight w:val="0"/>
              <w:marTop w:val="0"/>
              <w:marBottom w:val="0"/>
              <w:divBdr>
                <w:top w:val="none" w:sz="0" w:space="0" w:color="auto"/>
                <w:left w:val="none" w:sz="0" w:space="0" w:color="auto"/>
                <w:bottom w:val="none" w:sz="0" w:space="0" w:color="auto"/>
                <w:right w:val="none" w:sz="0" w:space="0" w:color="auto"/>
              </w:divBdr>
            </w:div>
            <w:div w:id="1784877998">
              <w:marLeft w:val="0"/>
              <w:marRight w:val="0"/>
              <w:marTop w:val="0"/>
              <w:marBottom w:val="0"/>
              <w:divBdr>
                <w:top w:val="none" w:sz="0" w:space="0" w:color="auto"/>
                <w:left w:val="none" w:sz="0" w:space="0" w:color="auto"/>
                <w:bottom w:val="none" w:sz="0" w:space="0" w:color="auto"/>
                <w:right w:val="none" w:sz="0" w:space="0" w:color="auto"/>
              </w:divBdr>
            </w:div>
          </w:divsChild>
        </w:div>
        <w:div w:id="1718972306">
          <w:marLeft w:val="0"/>
          <w:marRight w:val="0"/>
          <w:marTop w:val="0"/>
          <w:marBottom w:val="0"/>
          <w:divBdr>
            <w:top w:val="none" w:sz="0" w:space="0" w:color="auto"/>
            <w:left w:val="none" w:sz="0" w:space="0" w:color="auto"/>
            <w:bottom w:val="none" w:sz="0" w:space="0" w:color="auto"/>
            <w:right w:val="none" w:sz="0" w:space="0" w:color="auto"/>
          </w:divBdr>
          <w:divsChild>
            <w:div w:id="2034111699">
              <w:marLeft w:val="0"/>
              <w:marRight w:val="0"/>
              <w:marTop w:val="0"/>
              <w:marBottom w:val="0"/>
              <w:divBdr>
                <w:top w:val="none" w:sz="0" w:space="0" w:color="auto"/>
                <w:left w:val="none" w:sz="0" w:space="0" w:color="auto"/>
                <w:bottom w:val="none" w:sz="0" w:space="0" w:color="auto"/>
                <w:right w:val="none" w:sz="0" w:space="0" w:color="auto"/>
              </w:divBdr>
            </w:div>
          </w:divsChild>
        </w:div>
        <w:div w:id="1316186179">
          <w:marLeft w:val="0"/>
          <w:marRight w:val="0"/>
          <w:marTop w:val="0"/>
          <w:marBottom w:val="0"/>
          <w:divBdr>
            <w:top w:val="none" w:sz="0" w:space="0" w:color="auto"/>
            <w:left w:val="none" w:sz="0" w:space="0" w:color="auto"/>
            <w:bottom w:val="none" w:sz="0" w:space="0" w:color="auto"/>
            <w:right w:val="none" w:sz="0" w:space="0" w:color="auto"/>
          </w:divBdr>
          <w:divsChild>
            <w:div w:id="17907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8562">
      <w:bodyDiv w:val="1"/>
      <w:marLeft w:val="0"/>
      <w:marRight w:val="0"/>
      <w:marTop w:val="0"/>
      <w:marBottom w:val="0"/>
      <w:divBdr>
        <w:top w:val="none" w:sz="0" w:space="0" w:color="auto"/>
        <w:left w:val="none" w:sz="0" w:space="0" w:color="auto"/>
        <w:bottom w:val="none" w:sz="0" w:space="0" w:color="auto"/>
        <w:right w:val="none" w:sz="0" w:space="0" w:color="auto"/>
      </w:divBdr>
      <w:divsChild>
        <w:div w:id="1385563097">
          <w:marLeft w:val="0"/>
          <w:marRight w:val="0"/>
          <w:marTop w:val="0"/>
          <w:marBottom w:val="0"/>
          <w:divBdr>
            <w:top w:val="none" w:sz="0" w:space="0" w:color="auto"/>
            <w:left w:val="none" w:sz="0" w:space="0" w:color="auto"/>
            <w:bottom w:val="none" w:sz="0" w:space="0" w:color="auto"/>
            <w:right w:val="none" w:sz="0" w:space="0" w:color="auto"/>
          </w:divBdr>
          <w:divsChild>
            <w:div w:id="60254881">
              <w:marLeft w:val="0"/>
              <w:marRight w:val="0"/>
              <w:marTop w:val="0"/>
              <w:marBottom w:val="0"/>
              <w:divBdr>
                <w:top w:val="none" w:sz="0" w:space="0" w:color="auto"/>
                <w:left w:val="none" w:sz="0" w:space="0" w:color="auto"/>
                <w:bottom w:val="none" w:sz="0" w:space="0" w:color="auto"/>
                <w:right w:val="none" w:sz="0" w:space="0" w:color="auto"/>
              </w:divBdr>
            </w:div>
          </w:divsChild>
        </w:div>
        <w:div w:id="1637181222">
          <w:marLeft w:val="0"/>
          <w:marRight w:val="0"/>
          <w:marTop w:val="0"/>
          <w:marBottom w:val="0"/>
          <w:divBdr>
            <w:top w:val="none" w:sz="0" w:space="0" w:color="auto"/>
            <w:left w:val="none" w:sz="0" w:space="0" w:color="auto"/>
            <w:bottom w:val="none" w:sz="0" w:space="0" w:color="auto"/>
            <w:right w:val="none" w:sz="0" w:space="0" w:color="auto"/>
          </w:divBdr>
          <w:divsChild>
            <w:div w:id="400639253">
              <w:marLeft w:val="0"/>
              <w:marRight w:val="0"/>
              <w:marTop w:val="0"/>
              <w:marBottom w:val="0"/>
              <w:divBdr>
                <w:top w:val="none" w:sz="0" w:space="0" w:color="auto"/>
                <w:left w:val="none" w:sz="0" w:space="0" w:color="auto"/>
                <w:bottom w:val="none" w:sz="0" w:space="0" w:color="auto"/>
                <w:right w:val="none" w:sz="0" w:space="0" w:color="auto"/>
              </w:divBdr>
            </w:div>
          </w:divsChild>
        </w:div>
        <w:div w:id="1996492480">
          <w:marLeft w:val="0"/>
          <w:marRight w:val="0"/>
          <w:marTop w:val="0"/>
          <w:marBottom w:val="0"/>
          <w:divBdr>
            <w:top w:val="none" w:sz="0" w:space="0" w:color="auto"/>
            <w:left w:val="none" w:sz="0" w:space="0" w:color="auto"/>
            <w:bottom w:val="none" w:sz="0" w:space="0" w:color="auto"/>
            <w:right w:val="none" w:sz="0" w:space="0" w:color="auto"/>
          </w:divBdr>
          <w:divsChild>
            <w:div w:id="813449093">
              <w:marLeft w:val="0"/>
              <w:marRight w:val="0"/>
              <w:marTop w:val="0"/>
              <w:marBottom w:val="0"/>
              <w:divBdr>
                <w:top w:val="none" w:sz="0" w:space="0" w:color="auto"/>
                <w:left w:val="none" w:sz="0" w:space="0" w:color="auto"/>
                <w:bottom w:val="none" w:sz="0" w:space="0" w:color="auto"/>
                <w:right w:val="none" w:sz="0" w:space="0" w:color="auto"/>
              </w:divBdr>
            </w:div>
          </w:divsChild>
        </w:div>
        <w:div w:id="1624574136">
          <w:marLeft w:val="0"/>
          <w:marRight w:val="0"/>
          <w:marTop w:val="0"/>
          <w:marBottom w:val="0"/>
          <w:divBdr>
            <w:top w:val="none" w:sz="0" w:space="0" w:color="auto"/>
            <w:left w:val="none" w:sz="0" w:space="0" w:color="auto"/>
            <w:bottom w:val="none" w:sz="0" w:space="0" w:color="auto"/>
            <w:right w:val="none" w:sz="0" w:space="0" w:color="auto"/>
          </w:divBdr>
          <w:divsChild>
            <w:div w:id="1850021168">
              <w:marLeft w:val="0"/>
              <w:marRight w:val="0"/>
              <w:marTop w:val="0"/>
              <w:marBottom w:val="0"/>
              <w:divBdr>
                <w:top w:val="none" w:sz="0" w:space="0" w:color="auto"/>
                <w:left w:val="none" w:sz="0" w:space="0" w:color="auto"/>
                <w:bottom w:val="none" w:sz="0" w:space="0" w:color="auto"/>
                <w:right w:val="none" w:sz="0" w:space="0" w:color="auto"/>
              </w:divBdr>
            </w:div>
            <w:div w:id="1617365222">
              <w:marLeft w:val="0"/>
              <w:marRight w:val="0"/>
              <w:marTop w:val="0"/>
              <w:marBottom w:val="0"/>
              <w:divBdr>
                <w:top w:val="none" w:sz="0" w:space="0" w:color="auto"/>
                <w:left w:val="none" w:sz="0" w:space="0" w:color="auto"/>
                <w:bottom w:val="none" w:sz="0" w:space="0" w:color="auto"/>
                <w:right w:val="none" w:sz="0" w:space="0" w:color="auto"/>
              </w:divBdr>
            </w:div>
          </w:divsChild>
        </w:div>
        <w:div w:id="138152547">
          <w:marLeft w:val="0"/>
          <w:marRight w:val="0"/>
          <w:marTop w:val="0"/>
          <w:marBottom w:val="0"/>
          <w:divBdr>
            <w:top w:val="none" w:sz="0" w:space="0" w:color="auto"/>
            <w:left w:val="none" w:sz="0" w:space="0" w:color="auto"/>
            <w:bottom w:val="none" w:sz="0" w:space="0" w:color="auto"/>
            <w:right w:val="none" w:sz="0" w:space="0" w:color="auto"/>
          </w:divBdr>
          <w:divsChild>
            <w:div w:id="326977875">
              <w:marLeft w:val="0"/>
              <w:marRight w:val="0"/>
              <w:marTop w:val="0"/>
              <w:marBottom w:val="0"/>
              <w:divBdr>
                <w:top w:val="none" w:sz="0" w:space="0" w:color="auto"/>
                <w:left w:val="none" w:sz="0" w:space="0" w:color="auto"/>
                <w:bottom w:val="none" w:sz="0" w:space="0" w:color="auto"/>
                <w:right w:val="none" w:sz="0" w:space="0" w:color="auto"/>
              </w:divBdr>
            </w:div>
          </w:divsChild>
        </w:div>
        <w:div w:id="1091124264">
          <w:marLeft w:val="0"/>
          <w:marRight w:val="0"/>
          <w:marTop w:val="0"/>
          <w:marBottom w:val="0"/>
          <w:divBdr>
            <w:top w:val="none" w:sz="0" w:space="0" w:color="auto"/>
            <w:left w:val="none" w:sz="0" w:space="0" w:color="auto"/>
            <w:bottom w:val="none" w:sz="0" w:space="0" w:color="auto"/>
            <w:right w:val="none" w:sz="0" w:space="0" w:color="auto"/>
          </w:divBdr>
          <w:divsChild>
            <w:div w:id="21216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19C2545AACDF4EBFFFFA3E6D34DBAB" ma:contentTypeVersion="15" ma:contentTypeDescription="Create a new document." ma:contentTypeScope="" ma:versionID="b1012017274153b8a5dae96c9717835c">
  <xsd:schema xmlns:xsd="http://www.w3.org/2001/XMLSchema" xmlns:xs="http://www.w3.org/2001/XMLSchema" xmlns:p="http://schemas.microsoft.com/office/2006/metadata/properties" xmlns:ns2="0315049f-08c8-4bed-80a2-46a2923689e2" xmlns:ns3="86353bc8-26f6-44ff-b86f-47b0bee36b47" targetNamespace="http://schemas.microsoft.com/office/2006/metadata/properties" ma:root="true" ma:fieldsID="7d2d5cb323e624eeb33473bf1885b174" ns2:_="" ns3:_="">
    <xsd:import namespace="0315049f-08c8-4bed-80a2-46a2923689e2"/>
    <xsd:import namespace="86353bc8-26f6-44ff-b86f-47b0bee36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5049f-08c8-4bed-80a2-46a292368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5cc58c-648a-4728-9fa2-160b4e7555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353bc8-26f6-44ff-b86f-47b0bee36b4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445d578-ee6e-4d56-a017-78980445383a}" ma:internalName="TaxCatchAll" ma:showField="CatchAllData" ma:web="86353bc8-26f6-44ff-b86f-47b0bee36b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353bc8-26f6-44ff-b86f-47b0bee36b47" xsi:nil="true"/>
    <lcf76f155ced4ddcb4097134ff3c332f xmlns="0315049f-08c8-4bed-80a2-46a2923689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AA1047-D634-471C-84F0-C131BA4CB6FE}"/>
</file>

<file path=customXml/itemProps2.xml><?xml version="1.0" encoding="utf-8"?>
<ds:datastoreItem xmlns:ds="http://schemas.openxmlformats.org/officeDocument/2006/customXml" ds:itemID="{4D7FA239-772E-48FB-8A7C-7E7E8E2158A5}"/>
</file>

<file path=customXml/itemProps3.xml><?xml version="1.0" encoding="utf-8"?>
<ds:datastoreItem xmlns:ds="http://schemas.openxmlformats.org/officeDocument/2006/customXml" ds:itemID="{93892E3C-E5A4-4B8F-A109-A19158C4F4D3}"/>
</file>

<file path=docProps/app.xml><?xml version="1.0" encoding="utf-8"?>
<Properties xmlns="http://schemas.openxmlformats.org/officeDocument/2006/extended-properties" xmlns:vt="http://schemas.openxmlformats.org/officeDocument/2006/docPropsVTypes">
  <Template>Normal</Template>
  <TotalTime>57</TotalTime>
  <Pages>10</Pages>
  <Words>1743</Words>
  <Characters>9938</Characters>
  <Application>Microsoft Office Word</Application>
  <DocSecurity>0</DocSecurity>
  <Lines>82</Lines>
  <Paragraphs>23</Paragraphs>
  <ScaleCrop>false</ScaleCrop>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Brylle L. Salazar</dc:creator>
  <cp:keywords/>
  <dc:description/>
  <cp:lastModifiedBy>Lex Salazar</cp:lastModifiedBy>
  <cp:revision>138</cp:revision>
  <dcterms:created xsi:type="dcterms:W3CDTF">2023-02-27T01:09:00Z</dcterms:created>
  <dcterms:modified xsi:type="dcterms:W3CDTF">2023-06-22T06:32:00Z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0x0101006B19C2545AACDF4EBFFFFA3E6D34DBAB</vt:lpwstr>
  </property>
</Properties>
</file>