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45" w:type="dxa"/>
        <w:tblLook w:val="04A0" w:firstRow="1" w:lastRow="0" w:firstColumn="1" w:lastColumn="0" w:noHBand="0" w:noVBand="1"/>
      </w:tblPr>
      <w:tblGrid>
        <w:gridCol w:w="5379"/>
        <w:gridCol w:w="4255"/>
        <w:gridCol w:w="4111"/>
      </w:tblGrid>
      <w:tr w:rsidR="00040EFE" w:rsidTr="74B0AE27" w14:paraId="0EA24E5D" w14:textId="77777777">
        <w:trPr>
          <w:trHeight w:val="262"/>
          <w:tblHeader/>
        </w:trPr>
        <w:tc>
          <w:tcPr>
            <w:tcW w:w="5379" w:type="dxa"/>
            <w:tcMar/>
          </w:tcPr>
          <w:p w:rsidRPr="0007060A" w:rsidR="00040EFE" w:rsidP="00040EFE" w:rsidRDefault="00040EFE" w14:paraId="48D0075C" w14:textId="1608EB80">
            <w:pPr>
              <w:jc w:val="center"/>
              <w:rPr>
                <w:rFonts w:ascii="Arial" w:hAnsi="Arial" w:cs="Arial"/>
                <w:b/>
                <w:bCs/>
                <w:sz w:val="24"/>
                <w:szCs w:val="24"/>
              </w:rPr>
            </w:pPr>
            <w:r w:rsidRPr="0007060A">
              <w:rPr>
                <w:rFonts w:ascii="Arial" w:hAnsi="Arial" w:cs="Arial"/>
                <w:b/>
                <w:bCs/>
                <w:sz w:val="24"/>
                <w:szCs w:val="24"/>
              </w:rPr>
              <w:t>Section</w:t>
            </w:r>
          </w:p>
        </w:tc>
        <w:tc>
          <w:tcPr>
            <w:tcW w:w="4255" w:type="dxa"/>
            <w:tcMar/>
          </w:tcPr>
          <w:p w:rsidRPr="00040EFE" w:rsidR="00040EFE" w:rsidP="00040EFE" w:rsidRDefault="00040EFE" w14:paraId="6FB73D78" w14:textId="0ED525B3">
            <w:pPr>
              <w:jc w:val="center"/>
              <w:rPr>
                <w:b/>
                <w:bCs/>
                <w:sz w:val="28"/>
                <w:szCs w:val="28"/>
              </w:rPr>
            </w:pPr>
            <w:r w:rsidRPr="00040EFE">
              <w:rPr>
                <w:b/>
                <w:bCs/>
                <w:sz w:val="28"/>
                <w:szCs w:val="28"/>
              </w:rPr>
              <w:t>Comments/Recommendation</w:t>
            </w:r>
          </w:p>
        </w:tc>
        <w:tc>
          <w:tcPr>
            <w:tcW w:w="4111" w:type="dxa"/>
            <w:tcMar/>
          </w:tcPr>
          <w:p w:rsidRPr="00040EFE" w:rsidR="00040EFE" w:rsidP="00040EFE" w:rsidRDefault="00040EFE" w14:paraId="63BE17C2" w14:textId="0E45D225">
            <w:pPr>
              <w:jc w:val="center"/>
              <w:rPr>
                <w:b/>
                <w:bCs/>
                <w:sz w:val="28"/>
                <w:szCs w:val="28"/>
              </w:rPr>
            </w:pPr>
            <w:r w:rsidRPr="00040EFE">
              <w:rPr>
                <w:b/>
                <w:bCs/>
                <w:sz w:val="28"/>
                <w:szCs w:val="28"/>
              </w:rPr>
              <w:t>Proposed/Suggested Revision</w:t>
            </w:r>
          </w:p>
        </w:tc>
      </w:tr>
      <w:tr w:rsidR="009D41CC" w:rsidTr="74B0AE27" w14:paraId="6ED0F68A" w14:textId="77777777">
        <w:trPr>
          <w:trHeight w:val="262"/>
          <w:tblHeader/>
        </w:trPr>
        <w:tc>
          <w:tcPr>
            <w:tcW w:w="5379" w:type="dxa"/>
            <w:tcMar/>
          </w:tcPr>
          <w:p w:rsidRPr="00B91789" w:rsidR="009D41CC" w:rsidP="00F324DA" w:rsidRDefault="00F324DA" w14:paraId="2EA7B8D4" w14:textId="79F3F8D0">
            <w:pPr>
              <w:jc w:val="both"/>
              <w:rPr>
                <w:rFonts w:ascii="Arial" w:hAnsi="Arial" w:cs="Arial"/>
                <w:sz w:val="24"/>
                <w:szCs w:val="24"/>
              </w:rPr>
            </w:pPr>
            <w:proofErr w:type="gramStart"/>
            <w:r w:rsidRPr="00B91789">
              <w:rPr>
                <w:rFonts w:ascii="Arial" w:hAnsi="Arial" w:cs="Arial"/>
                <w:b/>
                <w:bCs/>
                <w:sz w:val="24"/>
                <w:szCs w:val="24"/>
              </w:rPr>
              <w:t>WHEREAS,</w:t>
            </w:r>
            <w:proofErr w:type="gramEnd"/>
            <w:r w:rsidRPr="00B91789">
              <w:rPr>
                <w:rFonts w:ascii="Arial" w:hAnsi="Arial" w:cs="Arial"/>
                <w:sz w:val="24"/>
                <w:szCs w:val="24"/>
              </w:rPr>
              <w:t xml:space="preserve"> the Department of Energy (DOE) issued the revised Guidelines for the Green Energy Auction Program (GEAP) through Department Circular (DC) No. DC2021-11-0036, otherwise known as the “GEAP Guidelines,” on 03 November 2021;</w:t>
            </w:r>
          </w:p>
        </w:tc>
        <w:tc>
          <w:tcPr>
            <w:tcW w:w="4255" w:type="dxa"/>
            <w:tcMar/>
          </w:tcPr>
          <w:p w:rsidRPr="00040EFE" w:rsidR="009D41CC" w:rsidP="00040EFE" w:rsidRDefault="009D41CC" w14:paraId="736A791A" w14:textId="77777777">
            <w:pPr>
              <w:jc w:val="center"/>
              <w:rPr>
                <w:b/>
                <w:bCs/>
                <w:sz w:val="28"/>
                <w:szCs w:val="28"/>
              </w:rPr>
            </w:pPr>
          </w:p>
        </w:tc>
        <w:tc>
          <w:tcPr>
            <w:tcW w:w="4111" w:type="dxa"/>
            <w:tcMar/>
          </w:tcPr>
          <w:p w:rsidRPr="00040EFE" w:rsidR="009D41CC" w:rsidP="00040EFE" w:rsidRDefault="009D41CC" w14:paraId="56B4BD59" w14:textId="77777777">
            <w:pPr>
              <w:jc w:val="center"/>
              <w:rPr>
                <w:b/>
                <w:bCs/>
                <w:sz w:val="28"/>
                <w:szCs w:val="28"/>
              </w:rPr>
            </w:pPr>
          </w:p>
        </w:tc>
      </w:tr>
      <w:tr w:rsidR="009E602F" w:rsidTr="74B0AE27" w14:paraId="0E5A33FF" w14:textId="77777777">
        <w:trPr>
          <w:trHeight w:val="262"/>
          <w:tblHeader/>
        </w:trPr>
        <w:tc>
          <w:tcPr>
            <w:tcW w:w="5379" w:type="dxa"/>
            <w:tcMar/>
          </w:tcPr>
          <w:p w:rsidRPr="00B91789" w:rsidR="009E602F" w:rsidP="001D6FBF" w:rsidRDefault="001D6FBF" w14:paraId="4D491FC9" w14:textId="413C0BEF">
            <w:pPr>
              <w:jc w:val="both"/>
              <w:rPr>
                <w:rFonts w:ascii="Arial" w:hAnsi="Arial" w:cs="Arial"/>
                <w:sz w:val="24"/>
                <w:szCs w:val="24"/>
              </w:rPr>
            </w:pPr>
            <w:r w:rsidRPr="00B91789">
              <w:rPr>
                <w:rFonts w:ascii="Arial" w:hAnsi="Arial" w:cs="Arial"/>
                <w:b/>
                <w:bCs/>
                <w:sz w:val="24"/>
                <w:szCs w:val="24"/>
              </w:rPr>
              <w:t>WHEREAS,</w:t>
            </w:r>
            <w:r w:rsidRPr="00B91789">
              <w:rPr>
                <w:rFonts w:ascii="Arial" w:hAnsi="Arial" w:cs="Arial"/>
                <w:sz w:val="24"/>
                <w:szCs w:val="24"/>
              </w:rPr>
              <w:t xml:space="preserve"> through the GEAP, the DOE instituted a competitive process in the selection of eligible renewable energy (RE) facilities entitled to the Feed-In Tariff Allowance (FIT-All) Fund;</w:t>
            </w:r>
          </w:p>
        </w:tc>
        <w:tc>
          <w:tcPr>
            <w:tcW w:w="4255" w:type="dxa"/>
            <w:tcMar/>
          </w:tcPr>
          <w:p w:rsidRPr="00040EFE" w:rsidR="009E602F" w:rsidP="00040EFE" w:rsidRDefault="009E602F" w14:paraId="09552FF3" w14:textId="77777777">
            <w:pPr>
              <w:jc w:val="center"/>
              <w:rPr>
                <w:b/>
                <w:bCs/>
                <w:sz w:val="28"/>
                <w:szCs w:val="28"/>
              </w:rPr>
            </w:pPr>
          </w:p>
        </w:tc>
        <w:tc>
          <w:tcPr>
            <w:tcW w:w="4111" w:type="dxa"/>
            <w:tcMar/>
          </w:tcPr>
          <w:p w:rsidRPr="00040EFE" w:rsidR="009E602F" w:rsidP="00040EFE" w:rsidRDefault="009E602F" w14:paraId="241D2D29" w14:textId="77777777">
            <w:pPr>
              <w:jc w:val="center"/>
              <w:rPr>
                <w:b/>
                <w:bCs/>
                <w:sz w:val="28"/>
                <w:szCs w:val="28"/>
              </w:rPr>
            </w:pPr>
          </w:p>
        </w:tc>
      </w:tr>
      <w:tr w:rsidR="00E85B0B" w:rsidTr="74B0AE27" w14:paraId="62888F61" w14:textId="77777777">
        <w:trPr>
          <w:trHeight w:val="262"/>
          <w:tblHeader/>
        </w:trPr>
        <w:tc>
          <w:tcPr>
            <w:tcW w:w="5379" w:type="dxa"/>
            <w:tcMar/>
          </w:tcPr>
          <w:p w:rsidRPr="00B91789" w:rsidR="00E85B0B" w:rsidP="00B44AAF" w:rsidRDefault="00B44AAF" w14:paraId="5ABD15DF" w14:textId="4D3E77D6">
            <w:pPr>
              <w:jc w:val="both"/>
              <w:rPr>
                <w:rFonts w:ascii="Arial" w:hAnsi="Arial" w:cs="Arial"/>
                <w:sz w:val="24"/>
                <w:szCs w:val="24"/>
              </w:rPr>
            </w:pPr>
            <w:r w:rsidRPr="00B91789">
              <w:rPr>
                <w:rFonts w:ascii="Arial" w:hAnsi="Arial" w:cs="Arial"/>
                <w:b/>
                <w:bCs/>
                <w:sz w:val="24"/>
                <w:szCs w:val="24"/>
              </w:rPr>
              <w:t xml:space="preserve">WHEREAS, </w:t>
            </w:r>
            <w:r w:rsidRPr="00B91789">
              <w:rPr>
                <w:rFonts w:ascii="Arial" w:hAnsi="Arial" w:cs="Arial"/>
                <w:sz w:val="24"/>
                <w:szCs w:val="24"/>
              </w:rPr>
              <w:t xml:space="preserve">under the GEAP, the Feed-In Tariff (FIT) to be paid to the selected eligible RE facilities is fixed based on the price, in </w:t>
            </w:r>
            <w:proofErr w:type="spellStart"/>
            <w:r w:rsidRPr="00B91789">
              <w:rPr>
                <w:rFonts w:ascii="Arial" w:hAnsi="Arial" w:cs="Arial"/>
                <w:sz w:val="24"/>
                <w:szCs w:val="24"/>
              </w:rPr>
              <w:t>Php</w:t>
            </w:r>
            <w:proofErr w:type="spellEnd"/>
            <w:r w:rsidRPr="00B91789">
              <w:rPr>
                <w:rFonts w:ascii="Arial" w:hAnsi="Arial" w:cs="Arial"/>
                <w:sz w:val="24"/>
                <w:szCs w:val="24"/>
              </w:rPr>
              <w:t>/kWh, of the Winning Bidder’s offered capacity in a Green Energy Auction, known as the “Green Energy Tariff” (GET);</w:t>
            </w:r>
          </w:p>
        </w:tc>
        <w:tc>
          <w:tcPr>
            <w:tcW w:w="4255" w:type="dxa"/>
            <w:tcMar/>
          </w:tcPr>
          <w:p w:rsidRPr="00040EFE" w:rsidR="00E85B0B" w:rsidP="00040EFE" w:rsidRDefault="00E85B0B" w14:paraId="22FD0267" w14:textId="77777777">
            <w:pPr>
              <w:jc w:val="center"/>
              <w:rPr>
                <w:b/>
                <w:bCs/>
                <w:sz w:val="28"/>
                <w:szCs w:val="28"/>
              </w:rPr>
            </w:pPr>
          </w:p>
        </w:tc>
        <w:tc>
          <w:tcPr>
            <w:tcW w:w="4111" w:type="dxa"/>
            <w:tcMar/>
          </w:tcPr>
          <w:p w:rsidRPr="00040EFE" w:rsidR="00E85B0B" w:rsidP="00040EFE" w:rsidRDefault="00E85B0B" w14:paraId="5F51DC98" w14:textId="77777777">
            <w:pPr>
              <w:jc w:val="center"/>
              <w:rPr>
                <w:b/>
                <w:bCs/>
                <w:sz w:val="28"/>
                <w:szCs w:val="28"/>
              </w:rPr>
            </w:pPr>
          </w:p>
        </w:tc>
      </w:tr>
      <w:tr w:rsidR="00B44AAF" w:rsidTr="74B0AE27" w14:paraId="30642396" w14:textId="77777777">
        <w:trPr>
          <w:trHeight w:val="262"/>
          <w:tblHeader/>
        </w:trPr>
        <w:tc>
          <w:tcPr>
            <w:tcW w:w="5379" w:type="dxa"/>
            <w:tcMar/>
          </w:tcPr>
          <w:p w:rsidRPr="00B91789" w:rsidR="00B44AAF" w:rsidP="00B44AAF" w:rsidRDefault="00D810DB" w14:paraId="245072A2" w14:textId="3EB82D48">
            <w:pPr>
              <w:jc w:val="both"/>
              <w:rPr>
                <w:rFonts w:ascii="Arial" w:hAnsi="Arial" w:cs="Arial"/>
                <w:sz w:val="24"/>
                <w:szCs w:val="24"/>
              </w:rPr>
            </w:pPr>
            <w:proofErr w:type="gramStart"/>
            <w:r w:rsidRPr="00B91789">
              <w:rPr>
                <w:rFonts w:ascii="Arial" w:hAnsi="Arial" w:cs="Arial"/>
                <w:b/>
                <w:bCs/>
                <w:sz w:val="24"/>
                <w:szCs w:val="24"/>
              </w:rPr>
              <w:t>WHEREAS,</w:t>
            </w:r>
            <w:proofErr w:type="gramEnd"/>
            <w:r w:rsidRPr="00B91789">
              <w:rPr>
                <w:rFonts w:ascii="Arial" w:hAnsi="Arial" w:cs="Arial"/>
                <w:b/>
                <w:bCs/>
                <w:sz w:val="24"/>
                <w:szCs w:val="24"/>
              </w:rPr>
              <w:t xml:space="preserve"> </w:t>
            </w:r>
            <w:r w:rsidRPr="00B91789">
              <w:rPr>
                <w:rFonts w:ascii="Arial" w:hAnsi="Arial" w:cs="Arial"/>
                <w:sz w:val="24"/>
                <w:szCs w:val="24"/>
              </w:rPr>
              <w:t>there is a need to clarify that the GET resulting from a Green Energy Auction is considered as the FIT to which a Winning Bidder is entitled, and is not a separate and distinct charge or imposition against the FIT-All Fund.</w:t>
            </w:r>
          </w:p>
        </w:tc>
        <w:tc>
          <w:tcPr>
            <w:tcW w:w="4255" w:type="dxa"/>
            <w:tcMar/>
          </w:tcPr>
          <w:p w:rsidRPr="00040EFE" w:rsidR="00B44AAF" w:rsidP="00040EFE" w:rsidRDefault="00B44AAF" w14:paraId="3D4A7184" w14:textId="77777777">
            <w:pPr>
              <w:jc w:val="center"/>
              <w:rPr>
                <w:b/>
                <w:bCs/>
                <w:sz w:val="28"/>
                <w:szCs w:val="28"/>
              </w:rPr>
            </w:pPr>
          </w:p>
        </w:tc>
        <w:tc>
          <w:tcPr>
            <w:tcW w:w="4111" w:type="dxa"/>
            <w:tcMar/>
          </w:tcPr>
          <w:p w:rsidRPr="00040EFE" w:rsidR="00B44AAF" w:rsidP="00040EFE" w:rsidRDefault="00B44AAF" w14:paraId="6BF1A56C" w14:textId="77777777">
            <w:pPr>
              <w:jc w:val="center"/>
              <w:rPr>
                <w:b/>
                <w:bCs/>
                <w:sz w:val="28"/>
                <w:szCs w:val="28"/>
              </w:rPr>
            </w:pPr>
          </w:p>
        </w:tc>
      </w:tr>
      <w:tr w:rsidR="00D810DB" w:rsidTr="74B0AE27" w14:paraId="0EE55EC5" w14:textId="77777777">
        <w:trPr>
          <w:trHeight w:val="262"/>
          <w:tblHeader/>
        </w:trPr>
        <w:tc>
          <w:tcPr>
            <w:tcW w:w="5379" w:type="dxa"/>
            <w:tcMar/>
          </w:tcPr>
          <w:p w:rsidRPr="00B91789" w:rsidR="00D810DB" w:rsidP="00B44AAF" w:rsidRDefault="004D3DB6" w14:paraId="3E46C306" w14:textId="6F289098">
            <w:pPr>
              <w:jc w:val="both"/>
              <w:rPr>
                <w:rFonts w:ascii="Arial" w:hAnsi="Arial" w:cs="Arial"/>
                <w:sz w:val="24"/>
                <w:szCs w:val="24"/>
              </w:rPr>
            </w:pPr>
            <w:r w:rsidRPr="00B91789">
              <w:rPr>
                <w:rFonts w:ascii="Arial" w:hAnsi="Arial" w:cs="Arial"/>
                <w:b/>
                <w:bCs/>
                <w:sz w:val="24"/>
                <w:szCs w:val="24"/>
              </w:rPr>
              <w:t xml:space="preserve">NOW, THEREFORE, </w:t>
            </w:r>
            <w:r w:rsidRPr="00B91789">
              <w:rPr>
                <w:rFonts w:ascii="Arial" w:hAnsi="Arial" w:cs="Arial"/>
                <w:sz w:val="24"/>
                <w:szCs w:val="24"/>
              </w:rPr>
              <w:t xml:space="preserve">pursuant to its authority under Republic Act No. 9513, or the Renewable Energy Act of 2008, the DOE hereby adopts, </w:t>
            </w:r>
            <w:proofErr w:type="gramStart"/>
            <w:r w:rsidRPr="00B91789">
              <w:rPr>
                <w:rFonts w:ascii="Arial" w:hAnsi="Arial" w:cs="Arial"/>
                <w:sz w:val="24"/>
                <w:szCs w:val="24"/>
              </w:rPr>
              <w:t>issues</w:t>
            </w:r>
            <w:proofErr w:type="gramEnd"/>
            <w:r w:rsidRPr="00B91789">
              <w:rPr>
                <w:rFonts w:ascii="Arial" w:hAnsi="Arial" w:cs="Arial"/>
                <w:sz w:val="24"/>
                <w:szCs w:val="24"/>
              </w:rPr>
              <w:t xml:space="preserve"> and promulgates the following amendment to the GEAP Guidelines.</w:t>
            </w:r>
          </w:p>
        </w:tc>
        <w:tc>
          <w:tcPr>
            <w:tcW w:w="4255" w:type="dxa"/>
            <w:tcMar/>
          </w:tcPr>
          <w:p w:rsidRPr="00040EFE" w:rsidR="00D810DB" w:rsidP="00040EFE" w:rsidRDefault="00D810DB" w14:paraId="3BB495AC" w14:textId="77777777">
            <w:pPr>
              <w:jc w:val="center"/>
              <w:rPr>
                <w:b/>
                <w:bCs/>
                <w:sz w:val="28"/>
                <w:szCs w:val="28"/>
              </w:rPr>
            </w:pPr>
          </w:p>
        </w:tc>
        <w:tc>
          <w:tcPr>
            <w:tcW w:w="4111" w:type="dxa"/>
            <w:tcMar/>
          </w:tcPr>
          <w:p w:rsidRPr="00040EFE" w:rsidR="00D810DB" w:rsidP="00040EFE" w:rsidRDefault="00D810DB" w14:paraId="19DEAED2" w14:textId="77777777">
            <w:pPr>
              <w:jc w:val="center"/>
              <w:rPr>
                <w:b/>
                <w:bCs/>
                <w:sz w:val="28"/>
                <w:szCs w:val="28"/>
              </w:rPr>
            </w:pPr>
          </w:p>
        </w:tc>
      </w:tr>
      <w:tr w:rsidR="004D3DB6" w:rsidTr="74B0AE27" w14:paraId="413F54B2" w14:textId="77777777">
        <w:trPr>
          <w:trHeight w:val="262"/>
          <w:tblHeader/>
        </w:trPr>
        <w:tc>
          <w:tcPr>
            <w:tcW w:w="5379" w:type="dxa"/>
            <w:tcMar/>
          </w:tcPr>
          <w:p w:rsidRPr="00B91789" w:rsidR="001B1078" w:rsidP="001B1078" w:rsidRDefault="001B1078" w14:paraId="23C68731" w14:textId="77777777">
            <w:pPr>
              <w:jc w:val="both"/>
              <w:rPr>
                <w:rFonts w:ascii="Arial" w:hAnsi="Arial" w:cs="Arial"/>
                <w:sz w:val="23"/>
                <w:szCs w:val="23"/>
              </w:rPr>
            </w:pPr>
            <w:r w:rsidRPr="00B91789">
              <w:rPr>
                <w:rFonts w:ascii="Arial" w:hAnsi="Arial" w:cs="Arial"/>
                <w:b/>
                <w:bCs/>
                <w:sz w:val="23"/>
                <w:szCs w:val="23"/>
              </w:rPr>
              <w:lastRenderedPageBreak/>
              <w:t xml:space="preserve">Section 1. </w:t>
            </w:r>
            <w:r w:rsidRPr="00B91789">
              <w:rPr>
                <w:rFonts w:ascii="Arial" w:hAnsi="Arial" w:cs="Arial"/>
                <w:sz w:val="23"/>
                <w:szCs w:val="23"/>
              </w:rPr>
              <w:t>Section 9.13 of the GEAP Guidelines is hereby amended to read as follows:</w:t>
            </w:r>
          </w:p>
          <w:p w:rsidRPr="00B91789" w:rsidR="00962BD0" w:rsidP="001B1078" w:rsidRDefault="00962BD0" w14:paraId="27CD8B3D" w14:textId="77777777">
            <w:pPr>
              <w:jc w:val="both"/>
              <w:rPr>
                <w:rFonts w:ascii="Arial" w:hAnsi="Arial" w:cs="Arial"/>
                <w:sz w:val="23"/>
                <w:szCs w:val="23"/>
              </w:rPr>
            </w:pPr>
          </w:p>
          <w:p w:rsidR="004D3DB6" w:rsidP="00962BD0" w:rsidRDefault="00962BD0" w14:paraId="7499D77A" w14:textId="0FAFAD30">
            <w:pPr>
              <w:ind w:left="510" w:right="227"/>
              <w:jc w:val="both"/>
              <w:rPr>
                <w:rFonts w:ascii="Arial" w:hAnsi="Arial" w:cs="Arial"/>
                <w:sz w:val="23"/>
                <w:szCs w:val="23"/>
              </w:rPr>
            </w:pPr>
            <w:r w:rsidRPr="00B91789" w:rsidR="00962BD0">
              <w:rPr>
                <w:rFonts w:ascii="Arial" w:hAnsi="Arial" w:cs="Arial"/>
                <w:sz w:val="23"/>
                <w:szCs w:val="23"/>
              </w:rPr>
              <w:t xml:space="preserve">“9.13. </w:t>
            </w:r>
            <w:r w:rsidRPr="00B91789" w:rsidR="00962BD0">
              <w:rPr>
                <w:rFonts w:ascii="Arial" w:hAnsi="Arial" w:cs="Arial"/>
                <w:sz w:val="23"/>
                <w:szCs w:val="23"/>
                <w:u w:val="single"/>
              </w:rPr>
              <w:t>Post-Auction Procedures</w:t>
            </w:r>
            <w:r w:rsidRPr="00B91789" w:rsidR="00962BD0">
              <w:rPr>
                <w:rFonts w:ascii="Arial" w:hAnsi="Arial" w:cs="Arial"/>
                <w:sz w:val="23"/>
                <w:szCs w:val="23"/>
              </w:rPr>
              <w:t xml:space="preserve">. After securing a COE-GET, the Winning Bidder/s shall </w:t>
            </w:r>
            <w:r w:rsidRPr="00B91789" w:rsidR="00962BD0">
              <w:rPr>
                <w:rFonts w:ascii="Arial" w:hAnsi="Arial" w:cs="Arial"/>
                <w:sz w:val="23"/>
                <w:szCs w:val="23"/>
              </w:rPr>
              <w:t>comply with</w:t>
            </w:r>
            <w:r w:rsidRPr="00B91789" w:rsidR="00962BD0">
              <w:rPr>
                <w:rFonts w:ascii="Arial" w:hAnsi="Arial" w:cs="Arial"/>
                <w:sz w:val="23"/>
                <w:szCs w:val="23"/>
              </w:rPr>
              <w:t xml:space="preserve"> the procedures outlined in ERC Resolution No. 16, Series of 2014</w:t>
            </w:r>
            <w:r w:rsidRPr="00B91789" w:rsidR="00962BD0">
              <w:rPr>
                <w:rFonts w:ascii="Arial" w:hAnsi="Arial" w:cs="Arial"/>
                <w:sz w:val="23"/>
                <w:szCs w:val="23"/>
                <w:vertAlign w:val="superscript"/>
              </w:rPr>
              <w:t>[</w:t>
            </w:r>
            <w:r w:rsidRPr="00B91789" w:rsidR="6AAD2256">
              <w:rPr>
                <w:rFonts w:ascii="Arial" w:hAnsi="Arial" w:cs="Arial"/>
                <w:sz w:val="23"/>
                <w:szCs w:val="23"/>
                <w:vertAlign w:val="superscript"/>
              </w:rPr>
              <w:t>5</w:t>
            </w:r>
            <w:r w:rsidRPr="00B91789" w:rsidR="00962BD0">
              <w:rPr>
                <w:rFonts w:ascii="Arial" w:hAnsi="Arial" w:cs="Arial"/>
                <w:sz w:val="23"/>
                <w:szCs w:val="23"/>
                <w:vertAlign w:val="superscript"/>
              </w:rPr>
              <w:t>]</w:t>
            </w:r>
            <w:r w:rsidRPr="00B91789" w:rsidR="00962BD0">
              <w:rPr>
                <w:rFonts w:ascii="Arial" w:hAnsi="Arial" w:cs="Arial"/>
                <w:sz w:val="23"/>
                <w:szCs w:val="23"/>
              </w:rPr>
              <w:t xml:space="preserve">. For purposes of securing a Certificate of Compliance from the ERC, the COE-GET shall be considered, interpreted, and accepted as the same Certificate of Endorsement for FIT Eligibility issued by the DOE under FIT. In their </w:t>
            </w:r>
            <w:r w:rsidRPr="00B91789" w:rsidR="00962BD0">
              <w:rPr>
                <w:rFonts w:ascii="Arial" w:hAnsi="Arial" w:cs="Arial"/>
                <w:sz w:val="23"/>
                <w:szCs w:val="23"/>
              </w:rPr>
              <w:t>availment</w:t>
            </w:r>
            <w:r w:rsidRPr="00B91789" w:rsidR="00962BD0">
              <w:rPr>
                <w:rFonts w:ascii="Arial" w:hAnsi="Arial" w:cs="Arial"/>
                <w:sz w:val="23"/>
                <w:szCs w:val="23"/>
              </w:rPr>
              <w:t xml:space="preserve"> of the FIT-All Fund, the GET of a Winning Bidder shall be considered, </w:t>
            </w:r>
            <w:r w:rsidRPr="00B91789" w:rsidR="00962BD0">
              <w:rPr>
                <w:rFonts w:ascii="Arial" w:hAnsi="Arial" w:cs="Arial"/>
                <w:sz w:val="23"/>
                <w:szCs w:val="23"/>
              </w:rPr>
              <w:t>interpreted</w:t>
            </w:r>
            <w:r w:rsidRPr="00B91789" w:rsidR="00962BD0">
              <w:rPr>
                <w:rFonts w:ascii="Arial" w:hAnsi="Arial" w:cs="Arial"/>
                <w:sz w:val="23"/>
                <w:szCs w:val="23"/>
              </w:rPr>
              <w:t xml:space="preserve"> and accepted as the FIT.”</w:t>
            </w:r>
          </w:p>
          <w:p w:rsidRPr="00B91789" w:rsidR="00B91789" w:rsidP="00962BD0" w:rsidRDefault="00B91789" w14:paraId="60FFB3B4" w14:textId="1FD6D2B4">
            <w:pPr>
              <w:ind w:left="510" w:right="227"/>
              <w:jc w:val="both"/>
              <w:rPr>
                <w:rFonts w:ascii="Arial" w:hAnsi="Arial" w:cs="Arial"/>
                <w:b/>
                <w:bCs/>
                <w:sz w:val="23"/>
                <w:szCs w:val="23"/>
              </w:rPr>
            </w:pPr>
          </w:p>
        </w:tc>
        <w:tc>
          <w:tcPr>
            <w:tcW w:w="4255" w:type="dxa"/>
            <w:tcMar/>
          </w:tcPr>
          <w:p w:rsidRPr="00040EFE" w:rsidR="004D3DB6" w:rsidP="00040EFE" w:rsidRDefault="004D3DB6" w14:paraId="4C9DF3EE" w14:textId="77777777">
            <w:pPr>
              <w:jc w:val="center"/>
              <w:rPr>
                <w:b/>
                <w:bCs/>
                <w:sz w:val="28"/>
                <w:szCs w:val="28"/>
              </w:rPr>
            </w:pPr>
          </w:p>
        </w:tc>
        <w:tc>
          <w:tcPr>
            <w:tcW w:w="4111" w:type="dxa"/>
            <w:tcMar/>
          </w:tcPr>
          <w:p w:rsidRPr="00040EFE" w:rsidR="004D3DB6" w:rsidP="00040EFE" w:rsidRDefault="004D3DB6" w14:paraId="62A3CEBF" w14:textId="77777777">
            <w:pPr>
              <w:jc w:val="center"/>
              <w:rPr>
                <w:b/>
                <w:bCs/>
                <w:sz w:val="28"/>
                <w:szCs w:val="28"/>
              </w:rPr>
            </w:pPr>
          </w:p>
        </w:tc>
      </w:tr>
      <w:tr w:rsidR="00962BD0" w:rsidTr="74B0AE27" w14:paraId="0CC7EB7D" w14:textId="77777777">
        <w:trPr>
          <w:trHeight w:val="262"/>
          <w:tblHeader/>
        </w:trPr>
        <w:tc>
          <w:tcPr>
            <w:tcW w:w="5379" w:type="dxa"/>
            <w:tcMar/>
          </w:tcPr>
          <w:p w:rsidR="00962BD0" w:rsidP="00B42141" w:rsidRDefault="00B42141" w14:paraId="4986D743" w14:textId="77777777">
            <w:pPr>
              <w:pStyle w:val="p2"/>
              <w:tabs>
                <w:tab w:val="left" w:pos="284"/>
                <w:tab w:val="left" w:pos="567"/>
                <w:tab w:val="left" w:pos="851"/>
                <w:tab w:val="left" w:pos="1134"/>
              </w:tabs>
              <w:jc w:val="both"/>
              <w:rPr>
                <w:rFonts w:ascii="Arial" w:hAnsi="Arial" w:cs="Arial"/>
                <w:sz w:val="23"/>
                <w:szCs w:val="23"/>
              </w:rPr>
            </w:pPr>
            <w:r w:rsidRPr="00B91789">
              <w:rPr>
                <w:rFonts w:ascii="Arial" w:hAnsi="Arial" w:cs="Arial"/>
                <w:b/>
                <w:bCs/>
                <w:sz w:val="23"/>
                <w:szCs w:val="23"/>
              </w:rPr>
              <w:t>Section 2.  Separability Clause</w:t>
            </w:r>
            <w:r w:rsidRPr="00B91789">
              <w:rPr>
                <w:rFonts w:ascii="Arial" w:hAnsi="Arial" w:cs="Arial"/>
                <w:sz w:val="23"/>
                <w:szCs w:val="23"/>
              </w:rPr>
              <w:t>. If any provision of this Circular is declared invalid or unconstitutional, the other provisions not affected thereby shall remain valid and subsisting. </w:t>
            </w:r>
          </w:p>
          <w:p w:rsidRPr="00B91789" w:rsidR="00B91789" w:rsidP="00B42141" w:rsidRDefault="00B91789" w14:paraId="7C7EA547" w14:textId="14B7C548">
            <w:pPr>
              <w:pStyle w:val="p2"/>
              <w:tabs>
                <w:tab w:val="left" w:pos="284"/>
                <w:tab w:val="left" w:pos="567"/>
                <w:tab w:val="left" w:pos="851"/>
                <w:tab w:val="left" w:pos="1134"/>
              </w:tabs>
              <w:jc w:val="both"/>
              <w:rPr>
                <w:rFonts w:ascii="Arial" w:hAnsi="Arial" w:eastAsia="Book Antiqua" w:cs="Arial"/>
                <w:sz w:val="23"/>
                <w:szCs w:val="23"/>
              </w:rPr>
            </w:pPr>
          </w:p>
        </w:tc>
        <w:tc>
          <w:tcPr>
            <w:tcW w:w="4255" w:type="dxa"/>
            <w:tcMar/>
          </w:tcPr>
          <w:p w:rsidRPr="00040EFE" w:rsidR="00962BD0" w:rsidP="00040EFE" w:rsidRDefault="00962BD0" w14:paraId="21979C44" w14:textId="77777777">
            <w:pPr>
              <w:jc w:val="center"/>
              <w:rPr>
                <w:b/>
                <w:bCs/>
                <w:sz w:val="28"/>
                <w:szCs w:val="28"/>
              </w:rPr>
            </w:pPr>
          </w:p>
        </w:tc>
        <w:tc>
          <w:tcPr>
            <w:tcW w:w="4111" w:type="dxa"/>
            <w:tcMar/>
          </w:tcPr>
          <w:p w:rsidRPr="00040EFE" w:rsidR="00962BD0" w:rsidP="00040EFE" w:rsidRDefault="00962BD0" w14:paraId="50529FC3" w14:textId="77777777">
            <w:pPr>
              <w:jc w:val="center"/>
              <w:rPr>
                <w:b/>
                <w:bCs/>
                <w:sz w:val="28"/>
                <w:szCs w:val="28"/>
              </w:rPr>
            </w:pPr>
          </w:p>
        </w:tc>
      </w:tr>
      <w:tr w:rsidR="00B42141" w:rsidTr="74B0AE27" w14:paraId="1F6FFAAD" w14:textId="77777777">
        <w:trPr>
          <w:trHeight w:val="262"/>
          <w:tblHeader/>
        </w:trPr>
        <w:tc>
          <w:tcPr>
            <w:tcW w:w="5379" w:type="dxa"/>
            <w:tcMar/>
          </w:tcPr>
          <w:p w:rsidRPr="00B91789" w:rsidR="00B91789" w:rsidP="00E34039" w:rsidRDefault="00E34039" w14:paraId="644054D1" w14:textId="196D3A7C">
            <w:pPr>
              <w:jc w:val="both"/>
              <w:rPr>
                <w:rFonts w:ascii="Arial" w:hAnsi="Arial" w:cs="Arial"/>
                <w:sz w:val="23"/>
                <w:szCs w:val="23"/>
              </w:rPr>
            </w:pPr>
            <w:r w:rsidRPr="00B91789">
              <w:rPr>
                <w:rFonts w:ascii="Arial" w:hAnsi="Arial" w:cs="Arial"/>
                <w:b/>
                <w:bCs/>
                <w:sz w:val="23"/>
                <w:szCs w:val="23"/>
              </w:rPr>
              <w:t>Section 3. Repealing Clause</w:t>
            </w:r>
            <w:r w:rsidRPr="00B91789">
              <w:rPr>
                <w:rFonts w:ascii="Arial" w:hAnsi="Arial" w:cs="Arial"/>
                <w:sz w:val="23"/>
                <w:szCs w:val="23"/>
              </w:rPr>
              <w:t xml:space="preserve">. All previous issuances, </w:t>
            </w:r>
            <w:proofErr w:type="gramStart"/>
            <w:r w:rsidRPr="00B91789">
              <w:rPr>
                <w:rFonts w:ascii="Arial" w:hAnsi="Arial" w:cs="Arial"/>
                <w:sz w:val="23"/>
                <w:szCs w:val="23"/>
              </w:rPr>
              <w:t>rules</w:t>
            </w:r>
            <w:proofErr w:type="gramEnd"/>
            <w:r w:rsidRPr="00B91789">
              <w:rPr>
                <w:rFonts w:ascii="Arial" w:hAnsi="Arial" w:cs="Arial"/>
                <w:sz w:val="23"/>
                <w:szCs w:val="23"/>
              </w:rPr>
              <w:t xml:space="preserve"> and regulations inconsistent with this Circular are hereby repealed, amended or modified accordingly.</w:t>
            </w:r>
          </w:p>
        </w:tc>
        <w:tc>
          <w:tcPr>
            <w:tcW w:w="4255" w:type="dxa"/>
            <w:tcMar/>
          </w:tcPr>
          <w:p w:rsidRPr="00040EFE" w:rsidR="00B42141" w:rsidP="00040EFE" w:rsidRDefault="00B42141" w14:paraId="1302D169" w14:textId="77777777">
            <w:pPr>
              <w:jc w:val="center"/>
              <w:rPr>
                <w:b/>
                <w:bCs/>
                <w:sz w:val="28"/>
                <w:szCs w:val="28"/>
              </w:rPr>
            </w:pPr>
          </w:p>
        </w:tc>
        <w:tc>
          <w:tcPr>
            <w:tcW w:w="4111" w:type="dxa"/>
            <w:tcMar/>
          </w:tcPr>
          <w:p w:rsidRPr="00040EFE" w:rsidR="00B42141" w:rsidP="00040EFE" w:rsidRDefault="00B42141" w14:paraId="6E2869CE" w14:textId="77777777">
            <w:pPr>
              <w:jc w:val="center"/>
              <w:rPr>
                <w:b/>
                <w:bCs/>
                <w:sz w:val="28"/>
                <w:szCs w:val="28"/>
              </w:rPr>
            </w:pPr>
          </w:p>
        </w:tc>
      </w:tr>
      <w:tr w:rsidR="0007060A" w:rsidTr="74B0AE27" w14:paraId="7DDE218A" w14:textId="77777777">
        <w:trPr>
          <w:trHeight w:val="1350"/>
          <w:tblHeader/>
        </w:trPr>
        <w:tc>
          <w:tcPr>
            <w:tcW w:w="5379" w:type="dxa"/>
            <w:tcMar/>
          </w:tcPr>
          <w:p w:rsidRPr="00B91789" w:rsidR="00B91789" w:rsidP="0007060A" w:rsidRDefault="0007060A" w14:paraId="074A9A55" w14:textId="5D0B28DC">
            <w:pPr>
              <w:pStyle w:val="p2"/>
              <w:tabs>
                <w:tab w:val="left" w:pos="284"/>
                <w:tab w:val="left" w:pos="567"/>
                <w:tab w:val="left" w:pos="851"/>
                <w:tab w:val="left" w:pos="1134"/>
              </w:tabs>
              <w:jc w:val="both"/>
              <w:rPr>
                <w:rFonts w:ascii="Arial" w:hAnsi="Arial" w:cs="Arial"/>
                <w:sz w:val="23"/>
                <w:szCs w:val="23"/>
              </w:rPr>
            </w:pPr>
            <w:r w:rsidRPr="00B91789">
              <w:rPr>
                <w:rFonts w:ascii="Arial" w:hAnsi="Arial" w:cs="Arial"/>
                <w:b/>
                <w:bCs/>
                <w:sz w:val="23"/>
                <w:szCs w:val="23"/>
              </w:rPr>
              <w:t>Section 4. Effectivity</w:t>
            </w:r>
            <w:r w:rsidRPr="00B91789">
              <w:rPr>
                <w:rFonts w:ascii="Arial" w:hAnsi="Arial" w:cs="Arial"/>
                <w:sz w:val="23"/>
                <w:szCs w:val="23"/>
              </w:rPr>
              <w:t>. This Circular shall take effect fifteen (15) days after publication in at least two (2) newspapers of general circulation. Copies of this Circular shall be filed with the University of the Philippines Law Center-Office of the National Administrative Register.</w:t>
            </w:r>
          </w:p>
        </w:tc>
        <w:tc>
          <w:tcPr>
            <w:tcW w:w="4255" w:type="dxa"/>
            <w:tcMar/>
          </w:tcPr>
          <w:p w:rsidRPr="00040EFE" w:rsidR="0007060A" w:rsidP="00040EFE" w:rsidRDefault="0007060A" w14:paraId="540F6234" w14:textId="77777777">
            <w:pPr>
              <w:jc w:val="center"/>
              <w:rPr>
                <w:b/>
                <w:bCs/>
                <w:sz w:val="28"/>
                <w:szCs w:val="28"/>
              </w:rPr>
            </w:pPr>
          </w:p>
        </w:tc>
        <w:tc>
          <w:tcPr>
            <w:tcW w:w="4111" w:type="dxa"/>
            <w:tcMar/>
          </w:tcPr>
          <w:p w:rsidRPr="00040EFE" w:rsidR="0007060A" w:rsidP="00040EFE" w:rsidRDefault="0007060A" w14:paraId="6D374EFD" w14:textId="77777777">
            <w:pPr>
              <w:jc w:val="center"/>
              <w:rPr>
                <w:b/>
                <w:bCs/>
                <w:sz w:val="28"/>
                <w:szCs w:val="28"/>
              </w:rPr>
            </w:pPr>
          </w:p>
        </w:tc>
      </w:tr>
    </w:tbl>
    <w:p w:rsidR="00C93F9A" w:rsidP="74B0AE27" w:rsidRDefault="00C93F9A" w14:paraId="0DEE0DE0" w14:textId="627E0866">
      <w:pPr>
        <w:pStyle w:val="Normal"/>
        <w:rPr>
          <w:rFonts w:ascii="Arial" w:hAnsi="Arial" w:eastAsia="Arial" w:cs="Arial"/>
          <w:noProof w:val="0"/>
          <w:sz w:val="22"/>
          <w:szCs w:val="22"/>
          <w:vertAlign w:val="superscript"/>
          <w:lang w:val="en-PH"/>
        </w:rPr>
      </w:pPr>
    </w:p>
    <w:p w:rsidR="00C93F9A" w:rsidP="74B0AE27" w:rsidRDefault="00C93F9A" w14:paraId="497DF65D" w14:textId="1FCE8395">
      <w:pPr>
        <w:pStyle w:val="Normal"/>
        <w:rPr>
          <w:rFonts w:ascii="Calibri" w:hAnsi="Calibri" w:eastAsia="Calibri" w:cs="Calibri"/>
          <w:noProof w:val="0"/>
          <w:sz w:val="22"/>
          <w:szCs w:val="22"/>
          <w:lang w:val="en-PH"/>
        </w:rPr>
      </w:pPr>
      <w:r w:rsidRPr="74B0AE27" w:rsidR="1E13EBD0">
        <w:rPr>
          <w:rFonts w:ascii="Arial" w:hAnsi="Arial" w:eastAsia="Arial" w:cs="Arial"/>
          <w:noProof w:val="0"/>
          <w:sz w:val="22"/>
          <w:szCs w:val="22"/>
          <w:vertAlign w:val="superscript"/>
          <w:lang w:val="en-PH"/>
        </w:rPr>
        <w:t>[5]</w:t>
      </w:r>
      <w:r w:rsidRPr="74B0AE27" w:rsidR="1E13EBD0">
        <w:rPr>
          <w:rFonts w:ascii="Arial" w:hAnsi="Arial" w:eastAsia="Arial" w:cs="Arial"/>
          <w:noProof w:val="0"/>
          <w:sz w:val="22"/>
          <w:szCs w:val="22"/>
          <w:lang w:val="en-PH"/>
        </w:rPr>
        <w:t xml:space="preserve"> “A Resolution Adopting the 2014 Revised Rules for the Issuance of Certificates of Compliance (COCs) for Generation Companies, Qualified End-Users and Entities with Self-Generation Facilities.”</w:t>
      </w:r>
    </w:p>
    <w:sectPr w:rsidR="00C93F9A" w:rsidSect="00040EFE">
      <w:headerReference w:type="default" r:id="rId7"/>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625" w:rsidP="00040EFE" w:rsidRDefault="000B6625" w14:paraId="26A62011" w14:textId="77777777">
      <w:pPr>
        <w:spacing w:after="0" w:line="240" w:lineRule="auto"/>
      </w:pPr>
      <w:r>
        <w:separator/>
      </w:r>
    </w:p>
  </w:endnote>
  <w:endnote w:type="continuationSeparator" w:id="0">
    <w:p w:rsidR="000B6625" w:rsidP="00040EFE" w:rsidRDefault="000B6625" w14:paraId="11F631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625" w:rsidP="00040EFE" w:rsidRDefault="000B6625" w14:paraId="75833258" w14:textId="77777777">
      <w:pPr>
        <w:spacing w:after="0" w:line="240" w:lineRule="auto"/>
      </w:pPr>
      <w:r>
        <w:separator/>
      </w:r>
    </w:p>
  </w:footnote>
  <w:footnote w:type="continuationSeparator" w:id="0">
    <w:p w:rsidR="000B6625" w:rsidP="00040EFE" w:rsidRDefault="000B6625" w14:paraId="43D704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122ED" w:rsidR="00040EFE" w:rsidP="007122ED" w:rsidRDefault="00040EFE" w14:paraId="20C2CDED" w14:textId="54700190">
    <w:pPr>
      <w:jc w:val="center"/>
      <w:rPr>
        <w:rFonts w:ascii="Arial" w:hAnsi="Arial" w:cs="Arial"/>
        <w:b/>
        <w:bCs/>
        <w:sz w:val="24"/>
        <w:szCs w:val="24"/>
      </w:rPr>
    </w:pPr>
    <w:r w:rsidRPr="007122ED">
      <w:rPr>
        <w:rFonts w:ascii="Arial" w:hAnsi="Arial" w:cs="Arial"/>
        <w:b/>
        <w:bCs/>
        <w:sz w:val="24"/>
        <w:szCs w:val="24"/>
      </w:rPr>
      <w:t>&lt;</w:t>
    </w:r>
    <w:r w:rsidRPr="007122ED">
      <w:rPr>
        <w:rFonts w:ascii="Arial" w:hAnsi="Arial" w:cs="Arial"/>
        <w:b/>
        <w:bCs/>
        <w:color w:val="FF0000"/>
        <w:sz w:val="24"/>
        <w:szCs w:val="24"/>
      </w:rPr>
      <w:t>COMPANY NAME</w:t>
    </w:r>
    <w:r w:rsidRPr="007122ED">
      <w:rPr>
        <w:rFonts w:ascii="Arial" w:hAnsi="Arial" w:cs="Arial"/>
        <w:b/>
        <w:bCs/>
        <w:sz w:val="24"/>
        <w:szCs w:val="24"/>
      </w:rPr>
      <w:t>&gt; Comments on the Proposed Department Circular on</w:t>
    </w:r>
    <w:r w:rsidRPr="007122ED">
      <w:rPr>
        <w:rFonts w:ascii="Arial" w:hAnsi="Arial" w:cs="Arial"/>
        <w:b/>
        <w:bCs/>
        <w:sz w:val="24"/>
        <w:szCs w:val="24"/>
      </w:rPr>
      <w:br/>
    </w:r>
    <w:bookmarkStart w:name="_Hlk106964847" w:id="0"/>
    <w:r w:rsidRPr="007122ED" w:rsidR="007122ED">
      <w:rPr>
        <w:rFonts w:ascii="Arial" w:hAnsi="Arial" w:cs="Arial"/>
        <w:b/>
        <w:bCs/>
        <w:sz w:val="24"/>
        <w:szCs w:val="24"/>
      </w:rPr>
      <w:t>AMENDMENT TO DEPARTMENT CIRCULAR NO. DC2021-11-0036 TITLED, PROVIDING THE REVISED GUIDELINES FOR THE GREEN ENERGY AUCTION PROGRAM IN THE PHILIPPINES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406"/>
    <w:multiLevelType w:val="hybridMultilevel"/>
    <w:tmpl w:val="0D560D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16B1C6D"/>
    <w:multiLevelType w:val="hybridMultilevel"/>
    <w:tmpl w:val="7ABC0768"/>
    <w:lvl w:ilvl="0" w:tplc="88E2ED7C">
      <w:start w:val="1"/>
      <w:numFmt w:val="lowerLetter"/>
      <w:lvlText w:val="(%1)"/>
      <w:lvlJc w:val="left"/>
      <w:pPr>
        <w:ind w:left="2705" w:hanging="360"/>
      </w:pPr>
      <w:rPr>
        <w:rFonts w:hint="default" w:ascii="Arial" w:hAnsi="Arial"/>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0950CC"/>
    <w:multiLevelType w:val="hybridMultilevel"/>
    <w:tmpl w:val="8E0C0680"/>
    <w:lvl w:ilvl="0" w:tplc="FFFFFFFF">
      <w:start w:val="1"/>
      <w:numFmt w:val="lowerLetter"/>
      <w:lvlText w:val="(%1)"/>
      <w:lvlJc w:val="left"/>
      <w:pPr>
        <w:ind w:left="1440" w:hanging="720"/>
      </w:pPr>
      <w:rPr>
        <w:rFonts w:hint="default" w:ascii="Arial MT" w:hAnsi="Arial MT" w:eastAsia="Arial MT" w:cs="Arial M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5" w15:restartNumberingAfterBreak="0">
    <w:nsid w:val="0C3F790E"/>
    <w:multiLevelType w:val="hybridMultilevel"/>
    <w:tmpl w:val="E7DA1E4C"/>
    <w:lvl w:ilvl="0" w:tplc="B88C7EEC">
      <w:start w:val="1"/>
      <w:numFmt w:val="lowerLetter"/>
      <w:lvlText w:val="(%1)"/>
      <w:lvlJc w:val="left"/>
      <w:pPr>
        <w:ind w:left="1480" w:hanging="512"/>
      </w:pPr>
      <w:rPr>
        <w:rFonts w:hint="default" w:ascii="Arial" w:hAnsi="Arial" w:eastAsia="Arial MT" w:cs="Arial"/>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6"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0E353D5D"/>
    <w:multiLevelType w:val="hybridMultilevel"/>
    <w:tmpl w:val="0D5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0" w15:restartNumberingAfterBreak="0">
    <w:nsid w:val="18B34D0F"/>
    <w:multiLevelType w:val="hybridMultilevel"/>
    <w:tmpl w:val="70CA7728"/>
    <w:lvl w:ilvl="0" w:tplc="D7D6A8D2">
      <w:start w:val="1"/>
      <w:numFmt w:val="lowerLetter"/>
      <w:lvlText w:val="(%1)"/>
      <w:lvlJc w:val="left"/>
      <w:pPr>
        <w:ind w:left="1487" w:hanging="495"/>
      </w:pPr>
      <w:rPr>
        <w:rFonts w:hint="default" w:ascii="Arial MT" w:hAnsi="Arial MT" w:eastAsia="Arial MT" w:cs="Arial MT"/>
        <w:w w:val="101"/>
        <w:sz w:val="24"/>
        <w:szCs w:val="24"/>
        <w:lang w:val="en-US" w:eastAsia="en-US" w:bidi="ar-SA"/>
      </w:rPr>
    </w:lvl>
    <w:lvl w:ilvl="1" w:tplc="D468117E">
      <w:start w:val="1"/>
      <w:numFmt w:val="lowerRoman"/>
      <w:lvlText w:val="(%2)"/>
      <w:lvlJc w:val="left"/>
      <w:pPr>
        <w:ind w:left="2012" w:hanging="589"/>
      </w:pPr>
      <w:rPr>
        <w:rFonts w:hint="default" w:ascii="Arial MT" w:hAnsi="Arial MT" w:eastAsia="Arial MT" w:cs="Arial M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1"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3"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8E35071"/>
    <w:multiLevelType w:val="hybridMultilevel"/>
    <w:tmpl w:val="7FA0B7DE"/>
    <w:lvl w:ilvl="0" w:tplc="3034862E">
      <w:start w:val="1"/>
      <w:numFmt w:val="lowerLetter"/>
      <w:lvlText w:val="%1."/>
      <w:lvlJc w:val="left"/>
      <w:pPr>
        <w:ind w:left="720" w:hanging="360"/>
      </w:pPr>
      <w:rPr>
        <w:rFonts w:ascii="Arial" w:hAnsi="Arial" w:cs="Arial" w:eastAsiaTheme="minorHAnsi"/>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F1AF4"/>
    <w:multiLevelType w:val="hybridMultilevel"/>
    <w:tmpl w:val="E882849E"/>
    <w:lvl w:ilvl="0" w:tplc="4162A60C">
      <w:start w:val="1"/>
      <w:numFmt w:val="lowerLetter"/>
      <w:lvlText w:val="(%1)"/>
      <w:lvlJc w:val="left"/>
      <w:pPr>
        <w:ind w:left="1480" w:hanging="519"/>
      </w:pPr>
      <w:rPr>
        <w:rFonts w:hint="default" w:ascii="Arial" w:hAnsi="Arial" w:eastAsia="Arial MT" w:cs="Arial"/>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16"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7"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18"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9" w15:restartNumberingAfterBreak="0">
    <w:nsid w:val="40B93306"/>
    <w:multiLevelType w:val="hybridMultilevel"/>
    <w:tmpl w:val="F00A6644"/>
    <w:lvl w:ilvl="0" w:tplc="D468117E">
      <w:start w:val="1"/>
      <w:numFmt w:val="lowerRoman"/>
      <w:lvlText w:val="(%1)"/>
      <w:lvlJc w:val="left"/>
      <w:pPr>
        <w:ind w:left="1440" w:hanging="720"/>
      </w:pPr>
      <w:rPr>
        <w:rFonts w:hint="default" w:ascii="Arial MT" w:hAnsi="Arial MT" w:eastAsia="Arial MT" w:cs="Arial M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24"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5E8444E5"/>
    <w:multiLevelType w:val="hybridMultilevel"/>
    <w:tmpl w:val="7624C95C"/>
    <w:lvl w:ilvl="0" w:tplc="E53023D6">
      <w:start w:val="1"/>
      <w:numFmt w:val="lowerLetter"/>
      <w:lvlText w:val="(%1)"/>
      <w:lvlJc w:val="left"/>
      <w:pPr>
        <w:ind w:left="1487" w:hanging="495"/>
      </w:pPr>
      <w:rPr>
        <w:rFonts w:hint="default" w:ascii="Arial MT" w:hAnsi="Arial MT" w:eastAsia="Arial MT" w:cs="Arial MT"/>
        <w:w w:val="101"/>
        <w:sz w:val="24"/>
        <w:szCs w:val="24"/>
        <w:lang w:val="en-US" w:eastAsia="en-US" w:bidi="ar-SA"/>
      </w:rPr>
    </w:lvl>
    <w:lvl w:ilvl="1" w:tplc="5D46BDD8">
      <w:start w:val="1"/>
      <w:numFmt w:val="lowerRoman"/>
      <w:lvlText w:val="(%2)"/>
      <w:lvlJc w:val="left"/>
      <w:pPr>
        <w:ind w:left="2005" w:hanging="512"/>
      </w:pPr>
      <w:rPr>
        <w:rFonts w:hint="default" w:ascii="Arial" w:hAnsi="Arial" w:eastAsia="Arial MT" w:cs="Arial"/>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26" w15:restartNumberingAfterBreak="0">
    <w:nsid w:val="601A0492"/>
    <w:multiLevelType w:val="hybridMultilevel"/>
    <w:tmpl w:val="9F0AC9E6"/>
    <w:lvl w:ilvl="0" w:tplc="199CD676">
      <w:start w:val="1"/>
      <w:numFmt w:val="lowerLetter"/>
      <w:lvlText w:val="(%1)"/>
      <w:lvlJc w:val="left"/>
      <w:pPr>
        <w:ind w:left="1480" w:hanging="489"/>
      </w:pPr>
      <w:rPr>
        <w:rFonts w:hint="default" w:ascii="Arial" w:hAnsi="Arial" w:eastAsia="Arial MT" w:cs="Arial"/>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27" w15:restartNumberingAfterBreak="0">
    <w:nsid w:val="63A74486"/>
    <w:multiLevelType w:val="hybridMultilevel"/>
    <w:tmpl w:val="8688B6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4FA104B"/>
    <w:multiLevelType w:val="hybridMultilevel"/>
    <w:tmpl w:val="AF5AA172"/>
    <w:lvl w:ilvl="0" w:tplc="34090019">
      <w:start w:val="1"/>
      <w:numFmt w:val="lowerLetter"/>
      <w:lvlText w:val="%1."/>
      <w:lvlJc w:val="left"/>
      <w:pPr>
        <w:ind w:left="720" w:hanging="360"/>
      </w:pPr>
      <w:rPr>
        <w:rFonts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0"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31"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32"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15:restartNumberingAfterBreak="0">
    <w:nsid w:val="7B6C2ED4"/>
    <w:multiLevelType w:val="hybridMultilevel"/>
    <w:tmpl w:val="8ECA5FEC"/>
    <w:lvl w:ilvl="0" w:tplc="744C155A">
      <w:start w:val="1"/>
      <w:numFmt w:val="lowerLetter"/>
      <w:lvlText w:val="(%1)"/>
      <w:lvlJc w:val="left"/>
      <w:pPr>
        <w:ind w:left="1480" w:hanging="512"/>
      </w:pPr>
      <w:rPr>
        <w:rFonts w:hint="default" w:ascii="Arial" w:hAnsi="Arial" w:eastAsia="Arial MT" w:cs="Arial"/>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34" w15:restartNumberingAfterBreak="0">
    <w:nsid w:val="7D173EF6"/>
    <w:multiLevelType w:val="hybridMultilevel"/>
    <w:tmpl w:val="7FA0B7DE"/>
    <w:lvl w:ilvl="0" w:tplc="FFFFFFFF">
      <w:start w:val="1"/>
      <w:numFmt w:val="lowerLetter"/>
      <w:lvlText w:val="%1."/>
      <w:lvlJc w:val="left"/>
      <w:pPr>
        <w:ind w:left="720" w:hanging="360"/>
      </w:pPr>
      <w:rPr>
        <w:rFonts w:ascii="Arial" w:hAnsi="Arial" w:cs="Arial" w:eastAsiaTheme="minorHAnsi"/>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751121">
    <w:abstractNumId w:val="31"/>
  </w:num>
  <w:num w:numId="2" w16cid:durableId="1409377145">
    <w:abstractNumId w:val="23"/>
  </w:num>
  <w:num w:numId="3" w16cid:durableId="1709797498">
    <w:abstractNumId w:val="18"/>
  </w:num>
  <w:num w:numId="4" w16cid:durableId="1058939451">
    <w:abstractNumId w:val="9"/>
  </w:num>
  <w:num w:numId="5" w16cid:durableId="159270763">
    <w:abstractNumId w:val="12"/>
  </w:num>
  <w:num w:numId="6" w16cid:durableId="2009939644">
    <w:abstractNumId w:val="1"/>
  </w:num>
  <w:num w:numId="7" w16cid:durableId="2025940443">
    <w:abstractNumId w:val="4"/>
  </w:num>
  <w:num w:numId="8" w16cid:durableId="1079326290">
    <w:abstractNumId w:val="11"/>
  </w:num>
  <w:num w:numId="9" w16cid:durableId="1256400940">
    <w:abstractNumId w:val="24"/>
  </w:num>
  <w:num w:numId="10" w16cid:durableId="1273629011">
    <w:abstractNumId w:val="20"/>
  </w:num>
  <w:num w:numId="11" w16cid:durableId="1542209372">
    <w:abstractNumId w:val="19"/>
  </w:num>
  <w:num w:numId="12" w16cid:durableId="41053420">
    <w:abstractNumId w:val="10"/>
  </w:num>
  <w:num w:numId="13" w16cid:durableId="455098656">
    <w:abstractNumId w:val="21"/>
  </w:num>
  <w:num w:numId="14" w16cid:durableId="627858828">
    <w:abstractNumId w:val="25"/>
  </w:num>
  <w:num w:numId="15" w16cid:durableId="1825124234">
    <w:abstractNumId w:val="26"/>
  </w:num>
  <w:num w:numId="16" w16cid:durableId="959649526">
    <w:abstractNumId w:val="22"/>
  </w:num>
  <w:num w:numId="17" w16cid:durableId="544411089">
    <w:abstractNumId w:val="13"/>
  </w:num>
  <w:num w:numId="18" w16cid:durableId="1338507322">
    <w:abstractNumId w:val="30"/>
  </w:num>
  <w:num w:numId="19" w16cid:durableId="1936553317">
    <w:abstractNumId w:val="29"/>
  </w:num>
  <w:num w:numId="20" w16cid:durableId="16736487">
    <w:abstractNumId w:val="17"/>
  </w:num>
  <w:num w:numId="21" w16cid:durableId="2012485156">
    <w:abstractNumId w:val="5"/>
  </w:num>
  <w:num w:numId="22" w16cid:durableId="1450927929">
    <w:abstractNumId w:val="3"/>
  </w:num>
  <w:num w:numId="23" w16cid:durableId="1794326489">
    <w:abstractNumId w:val="8"/>
  </w:num>
  <w:num w:numId="24" w16cid:durableId="1226255842">
    <w:abstractNumId w:val="6"/>
  </w:num>
  <w:num w:numId="25" w16cid:durableId="481241405">
    <w:abstractNumId w:val="32"/>
  </w:num>
  <w:num w:numId="26" w16cid:durableId="1088382830">
    <w:abstractNumId w:val="33"/>
  </w:num>
  <w:num w:numId="27" w16cid:durableId="1091120781">
    <w:abstractNumId w:val="2"/>
  </w:num>
  <w:num w:numId="28" w16cid:durableId="764882055">
    <w:abstractNumId w:val="15"/>
  </w:num>
  <w:num w:numId="29" w16cid:durableId="1214778977">
    <w:abstractNumId w:val="16"/>
  </w:num>
  <w:num w:numId="30" w16cid:durableId="2065447246">
    <w:abstractNumId w:val="27"/>
  </w:num>
  <w:num w:numId="31" w16cid:durableId="249700045">
    <w:abstractNumId w:val="14"/>
  </w:num>
  <w:num w:numId="32" w16cid:durableId="1583251252">
    <w:abstractNumId w:val="34"/>
  </w:num>
  <w:num w:numId="33" w16cid:durableId="411006537">
    <w:abstractNumId w:val="28"/>
  </w:num>
  <w:num w:numId="34" w16cid:durableId="2104836638">
    <w:abstractNumId w:val="0"/>
  </w:num>
  <w:num w:numId="35" w16cid:durableId="1225486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rQUA2jeUUCwAAAA="/>
  </w:docVars>
  <w:rsids>
    <w:rsidRoot w:val="00040EFE"/>
    <w:rsid w:val="000350DF"/>
    <w:rsid w:val="000368A5"/>
    <w:rsid w:val="00040EFE"/>
    <w:rsid w:val="00055761"/>
    <w:rsid w:val="0007060A"/>
    <w:rsid w:val="00091AAB"/>
    <w:rsid w:val="000B24B6"/>
    <w:rsid w:val="000B6625"/>
    <w:rsid w:val="000C2E6A"/>
    <w:rsid w:val="00106247"/>
    <w:rsid w:val="00135204"/>
    <w:rsid w:val="001414BB"/>
    <w:rsid w:val="001568F1"/>
    <w:rsid w:val="0017540F"/>
    <w:rsid w:val="00195C99"/>
    <w:rsid w:val="00196E4D"/>
    <w:rsid w:val="001A3E22"/>
    <w:rsid w:val="001B1078"/>
    <w:rsid w:val="001B1080"/>
    <w:rsid w:val="001D58A6"/>
    <w:rsid w:val="001D6FBF"/>
    <w:rsid w:val="0021487B"/>
    <w:rsid w:val="00225424"/>
    <w:rsid w:val="0026772D"/>
    <w:rsid w:val="0028128B"/>
    <w:rsid w:val="002A180F"/>
    <w:rsid w:val="002C491C"/>
    <w:rsid w:val="00335FC6"/>
    <w:rsid w:val="0035078F"/>
    <w:rsid w:val="0037264A"/>
    <w:rsid w:val="00395B3F"/>
    <w:rsid w:val="003D3447"/>
    <w:rsid w:val="00437717"/>
    <w:rsid w:val="00440A26"/>
    <w:rsid w:val="00444643"/>
    <w:rsid w:val="00497C4C"/>
    <w:rsid w:val="004A4D23"/>
    <w:rsid w:val="004B491A"/>
    <w:rsid w:val="004B5A76"/>
    <w:rsid w:val="004D3DB6"/>
    <w:rsid w:val="004E34F2"/>
    <w:rsid w:val="0057034B"/>
    <w:rsid w:val="00592098"/>
    <w:rsid w:val="00592D51"/>
    <w:rsid w:val="00592EC4"/>
    <w:rsid w:val="005A2D06"/>
    <w:rsid w:val="005B1484"/>
    <w:rsid w:val="00627EA4"/>
    <w:rsid w:val="0068058F"/>
    <w:rsid w:val="007122ED"/>
    <w:rsid w:val="00721BF9"/>
    <w:rsid w:val="00722C44"/>
    <w:rsid w:val="007633D2"/>
    <w:rsid w:val="007B3008"/>
    <w:rsid w:val="007B3274"/>
    <w:rsid w:val="007B4304"/>
    <w:rsid w:val="007B52BB"/>
    <w:rsid w:val="007C7093"/>
    <w:rsid w:val="007E7274"/>
    <w:rsid w:val="007F42F0"/>
    <w:rsid w:val="007F44AE"/>
    <w:rsid w:val="00807C5A"/>
    <w:rsid w:val="00853AE6"/>
    <w:rsid w:val="0089500E"/>
    <w:rsid w:val="00904A5C"/>
    <w:rsid w:val="00916033"/>
    <w:rsid w:val="00962BD0"/>
    <w:rsid w:val="00967014"/>
    <w:rsid w:val="009A4D4A"/>
    <w:rsid w:val="009C28B6"/>
    <w:rsid w:val="009D41CC"/>
    <w:rsid w:val="009E602F"/>
    <w:rsid w:val="00A00060"/>
    <w:rsid w:val="00A0690E"/>
    <w:rsid w:val="00A51781"/>
    <w:rsid w:val="00AB0D45"/>
    <w:rsid w:val="00AD7A2A"/>
    <w:rsid w:val="00AE3E5E"/>
    <w:rsid w:val="00AF4F00"/>
    <w:rsid w:val="00AF65F8"/>
    <w:rsid w:val="00B26EF3"/>
    <w:rsid w:val="00B33A35"/>
    <w:rsid w:val="00B42141"/>
    <w:rsid w:val="00B44AAF"/>
    <w:rsid w:val="00B91789"/>
    <w:rsid w:val="00B95ED8"/>
    <w:rsid w:val="00BC18C3"/>
    <w:rsid w:val="00BC4BE4"/>
    <w:rsid w:val="00BF4385"/>
    <w:rsid w:val="00BF7729"/>
    <w:rsid w:val="00C16AEB"/>
    <w:rsid w:val="00C56B86"/>
    <w:rsid w:val="00C615CA"/>
    <w:rsid w:val="00C93F9A"/>
    <w:rsid w:val="00CD26BE"/>
    <w:rsid w:val="00D15783"/>
    <w:rsid w:val="00D4301D"/>
    <w:rsid w:val="00D810DB"/>
    <w:rsid w:val="00DA462D"/>
    <w:rsid w:val="00DD2345"/>
    <w:rsid w:val="00E07D4E"/>
    <w:rsid w:val="00E34039"/>
    <w:rsid w:val="00E82BD3"/>
    <w:rsid w:val="00E85B0B"/>
    <w:rsid w:val="00E95390"/>
    <w:rsid w:val="00EA15DD"/>
    <w:rsid w:val="00EA2BDF"/>
    <w:rsid w:val="00F13199"/>
    <w:rsid w:val="00F324DA"/>
    <w:rsid w:val="00F745F7"/>
    <w:rsid w:val="00F74FB0"/>
    <w:rsid w:val="00FA216E"/>
    <w:rsid w:val="00FB0F8A"/>
    <w:rsid w:val="00FC5C53"/>
    <w:rsid w:val="00FD111F"/>
    <w:rsid w:val="1E13EBD0"/>
    <w:rsid w:val="6AAD2256"/>
    <w:rsid w:val="74B0AE2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hAnsi="Arial" w:eastAsia="Arial" w:cs="Arial"/>
      <w:b/>
      <w:bCs/>
      <w:sz w:val="17"/>
      <w:szCs w:val="17"/>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40E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0EFE"/>
  </w:style>
  <w:style w:type="paragraph" w:styleId="p2" w:customStyle="1">
    <w:name w:val="p2"/>
    <w:rsid w:val="00040EFE"/>
    <w:pPr>
      <w:pBdr>
        <w:top w:val="nil"/>
        <w:left w:val="nil"/>
        <w:bottom w:val="nil"/>
        <w:right w:val="nil"/>
        <w:between w:val="nil"/>
        <w:bar w:val="nil"/>
      </w:pBdr>
      <w:spacing w:after="0" w:line="240" w:lineRule="auto"/>
    </w:pPr>
    <w:rPr>
      <w:rFonts w:ascii="Verdana" w:hAnsi="Verdana" w:eastAsia="Arial Unicode MS" w:cs="Arial Unicode MS"/>
      <w:color w:val="000000"/>
      <w:sz w:val="17"/>
      <w:szCs w:val="17"/>
      <w:u w:color="000000"/>
      <w:bdr w:val="nil"/>
      <w:lang w:val="en-US"/>
    </w:rPr>
  </w:style>
  <w:style w:type="paragraph" w:styleId="Body" w:customStyle="1">
    <w:name w:val="Body"/>
    <w:rsid w:val="00040EFE"/>
    <w:pPr>
      <w:pBdr>
        <w:top w:val="nil"/>
        <w:left w:val="nil"/>
        <w:bottom w:val="nil"/>
        <w:right w:val="nil"/>
        <w:between w:val="nil"/>
        <w:bar w:val="nil"/>
      </w:pBdr>
      <w:spacing w:after="0" w:line="240" w:lineRule="auto"/>
    </w:pPr>
    <w:rPr>
      <w:rFonts w:ascii="Calibri" w:hAnsi="Calibri" w:eastAsia="Calibri" w:cs="Calibri"/>
      <w:color w:val="000000"/>
      <w:sz w:val="24"/>
      <w:szCs w:val="24"/>
      <w:u w:color="000000"/>
      <w:bdr w:val="nil"/>
      <w:lang w:val="en-US"/>
    </w:rPr>
  </w:style>
  <w:style w:type="paragraph" w:styleId="ListParagraph">
    <w:name w:val="List Paragraph"/>
    <w:qFormat/>
    <w:rsid w:val="00040EFE"/>
    <w:pPr>
      <w:pBdr>
        <w:top w:val="nil"/>
        <w:left w:val="nil"/>
        <w:bottom w:val="nil"/>
        <w:right w:val="nil"/>
        <w:between w:val="nil"/>
        <w:bar w:val="nil"/>
      </w:pBdr>
      <w:spacing w:after="0" w:line="240" w:lineRule="auto"/>
      <w:ind w:left="720"/>
    </w:pPr>
    <w:rPr>
      <w:rFonts w:ascii="Calibri" w:hAnsi="Calibri" w:eastAsia="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hAnsi="Arial MT" w:eastAsia="Arial MT" w:cs="Arial MT"/>
      <w:sz w:val="17"/>
      <w:szCs w:val="17"/>
      <w:lang w:val="en-US"/>
    </w:rPr>
  </w:style>
  <w:style w:type="character" w:styleId="BodyTextChar" w:customStyle="1">
    <w:name w:val="Body Text Char"/>
    <w:basedOn w:val="DefaultParagraphFont"/>
    <w:link w:val="BodyText"/>
    <w:uiPriority w:val="1"/>
    <w:rsid w:val="00395B3F"/>
    <w:rPr>
      <w:rFonts w:ascii="Arial MT" w:hAnsi="Arial MT" w:eastAsia="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styleId="Heading1Char" w:customStyle="1">
    <w:name w:val="Heading 1 Char"/>
    <w:basedOn w:val="DefaultParagraphFont"/>
    <w:link w:val="Heading1"/>
    <w:uiPriority w:val="9"/>
    <w:rsid w:val="004A4D23"/>
    <w:rPr>
      <w:rFonts w:ascii="Arial" w:hAnsi="Arial" w:eastAsia="Arial" w:cs="Arial"/>
      <w:b/>
      <w:bCs/>
      <w:sz w:val="17"/>
      <w:szCs w:val="17"/>
      <w:lang w:val="en-US"/>
    </w:rPr>
  </w:style>
  <w:style w:type="paragraph" w:styleId="FootnoteText">
    <w:name w:val="footnote text"/>
    <w:basedOn w:val="Normal"/>
    <w:link w:val="FootnoteTextChar"/>
    <w:uiPriority w:val="99"/>
    <w:semiHidden/>
    <w:unhideWhenUsed/>
    <w:rsid w:val="00962BD0"/>
    <w:pPr>
      <w:spacing w:after="0" w:line="240" w:lineRule="auto"/>
    </w:pPr>
    <w:rPr>
      <w:rFonts w:ascii="Arial" w:hAnsi="Arial" w:cs="Arial"/>
      <w:sz w:val="20"/>
      <w:szCs w:val="20"/>
    </w:rPr>
  </w:style>
  <w:style w:type="character" w:styleId="FootnoteTextChar" w:customStyle="1">
    <w:name w:val="Footnote Text Char"/>
    <w:basedOn w:val="DefaultParagraphFont"/>
    <w:link w:val="FootnoteText"/>
    <w:uiPriority w:val="99"/>
    <w:semiHidden/>
    <w:rsid w:val="00962BD0"/>
    <w:rPr>
      <w:rFonts w:ascii="Arial" w:hAnsi="Arial" w:cs="Arial"/>
      <w:sz w:val="20"/>
      <w:szCs w:val="20"/>
    </w:rPr>
  </w:style>
  <w:style w:type="character" w:styleId="FootnoteReference">
    <w:name w:val="footnote reference"/>
    <w:basedOn w:val="DefaultParagraphFont"/>
    <w:uiPriority w:val="99"/>
    <w:semiHidden/>
    <w:unhideWhenUsed/>
    <w:rsid w:val="00962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9C2545AACDF4EBFFFFA3E6D34DBAB" ma:contentTypeVersion="15" ma:contentTypeDescription="Create a new document." ma:contentTypeScope="" ma:versionID="b1012017274153b8a5dae96c9717835c">
  <xsd:schema xmlns:xsd="http://www.w3.org/2001/XMLSchema" xmlns:xs="http://www.w3.org/2001/XMLSchema" xmlns:p="http://schemas.microsoft.com/office/2006/metadata/properties" xmlns:ns2="0315049f-08c8-4bed-80a2-46a2923689e2" xmlns:ns3="86353bc8-26f6-44ff-b86f-47b0bee36b47" targetNamespace="http://schemas.microsoft.com/office/2006/metadata/properties" ma:root="true" ma:fieldsID="7d2d5cb323e624eeb33473bf1885b174" ns2:_="" ns3:_="">
    <xsd:import namespace="0315049f-08c8-4bed-80a2-46a2923689e2"/>
    <xsd:import namespace="86353bc8-26f6-44ff-b86f-47b0bee36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049f-08c8-4bed-80a2-46a29236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3bc8-26f6-44ff-b86f-47b0bee36b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45d578-ee6e-4d56-a017-78980445383a}" ma:internalName="TaxCatchAll" ma:showField="CatchAllData" ma:web="86353bc8-26f6-44ff-b86f-47b0bee36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353bc8-26f6-44ff-b86f-47b0bee36b47" xsi:nil="true"/>
    <lcf76f155ced4ddcb4097134ff3c332f xmlns="0315049f-08c8-4bed-80a2-46a292368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D19DA2-783D-4756-A1E5-61B326BFF780}"/>
</file>

<file path=customXml/itemProps2.xml><?xml version="1.0" encoding="utf-8"?>
<ds:datastoreItem xmlns:ds="http://schemas.openxmlformats.org/officeDocument/2006/customXml" ds:itemID="{DC7888DE-2E68-4208-9F7F-1E9922B0276E}"/>
</file>

<file path=customXml/itemProps3.xml><?xml version="1.0" encoding="utf-8"?>
<ds:datastoreItem xmlns:ds="http://schemas.openxmlformats.org/officeDocument/2006/customXml" ds:itemID="{907D8D34-D7D2-4FAD-9CA8-8C73C31AD1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Lex Brylle L. Salazar</cp:lastModifiedBy>
  <cp:revision>109</cp:revision>
  <dcterms:created xsi:type="dcterms:W3CDTF">2023-02-27T01:09:00Z</dcterms:created>
  <dcterms:modified xsi:type="dcterms:W3CDTF">2023-06-22T06:44:49Z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0x0101006B19C2545AACDF4EBFFFFA3E6D34DBAB</vt:lpwstr>
  </property>
  <property fmtid="{D5CDD505-2E9C-101B-9397-08002B2CF9AE}" pid="3" name="MediaServiceImageTags">
    <vt:lpwstr/>
  </property>
</Properties>
</file>