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B" w:rsidRDefault="00EB4C44" w:rsidP="006E4AE7">
      <w:pPr>
        <w:jc w:val="center"/>
        <w:rPr>
          <w:rFonts w:ascii="Arial" w:hAnsi="Arial" w:cs="Arial"/>
          <w:sz w:val="24"/>
          <w:szCs w:val="24"/>
        </w:rPr>
      </w:pPr>
      <w:r w:rsidRPr="00EB4C44">
        <w:rPr>
          <w:rFonts w:ascii="Arial" w:hAnsi="Arial" w:cs="Arial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25pt;margin-top:18.15pt;width:76.5pt;height:30.1pt;z-index:251660288;mso-height-percent:200;mso-height-percent:200;mso-width-relative:margin;mso-height-relative:margin" stroked="f">
            <v:textbox style="mso-fit-shape-to-text:t">
              <w:txbxContent>
                <w:p w:rsidR="00D77F8B" w:rsidRPr="00D77F8B" w:rsidRDefault="00D77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77F8B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r w:rsidR="002A525B" w:rsidRPr="00D77F8B">
                    <w:rPr>
                      <w:rFonts w:ascii="Arial" w:hAnsi="Arial" w:cs="Arial"/>
                      <w:b/>
                      <w:sz w:val="24"/>
                      <w:szCs w:val="24"/>
                    </w:rPr>
                    <w:t>NNEX</w:t>
                  </w:r>
                  <w:r w:rsidRPr="00D77F8B">
                    <w:rPr>
                      <w:rFonts w:ascii="Arial" w:hAnsi="Arial" w:cs="Arial"/>
                      <w:b/>
                      <w:sz w:val="24"/>
                      <w:szCs w:val="24"/>
                    </w:rPr>
                    <w:t>- H</w:t>
                  </w:r>
                </w:p>
              </w:txbxContent>
            </v:textbox>
          </v:shape>
        </w:pict>
      </w:r>
    </w:p>
    <w:p w:rsidR="00D77F8B" w:rsidRDefault="00D77F8B" w:rsidP="00D77F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7F8B" w:rsidRDefault="00D77F8B" w:rsidP="00D77F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525B" w:rsidRDefault="002A525B" w:rsidP="00D77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525B" w:rsidRDefault="002A525B" w:rsidP="00D77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4AE7" w:rsidRPr="002A525B" w:rsidRDefault="006E4AE7" w:rsidP="00D77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525B">
        <w:rPr>
          <w:rFonts w:ascii="Arial" w:hAnsi="Arial" w:cs="Arial"/>
          <w:b/>
          <w:sz w:val="24"/>
          <w:szCs w:val="24"/>
        </w:rPr>
        <w:t>Republic of the Philippines</w:t>
      </w:r>
    </w:p>
    <w:p w:rsidR="006E4AE7" w:rsidRPr="002A525B" w:rsidRDefault="006E4AE7" w:rsidP="00D77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525B">
        <w:rPr>
          <w:rFonts w:ascii="Arial" w:hAnsi="Arial" w:cs="Arial"/>
          <w:b/>
          <w:sz w:val="24"/>
          <w:szCs w:val="24"/>
        </w:rPr>
        <w:t>DEPARTMENT OF ENERGY</w:t>
      </w:r>
    </w:p>
    <w:p w:rsidR="006E4AE7" w:rsidRPr="006E4AE7" w:rsidRDefault="006E4AE7" w:rsidP="006E4A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Energy Center, Rizal Drive corner </w:t>
      </w:r>
      <w:proofErr w:type="gramStart"/>
      <w:r w:rsidRPr="006E4AE7">
        <w:rPr>
          <w:rFonts w:ascii="Arial" w:hAnsi="Arial" w:cs="Arial"/>
          <w:sz w:val="24"/>
          <w:szCs w:val="24"/>
        </w:rPr>
        <w:t>34I  Street</w:t>
      </w:r>
      <w:proofErr w:type="gramEnd"/>
      <w:r w:rsidRPr="006E4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AE7">
        <w:rPr>
          <w:rFonts w:ascii="Arial" w:hAnsi="Arial" w:cs="Arial"/>
          <w:sz w:val="24"/>
          <w:szCs w:val="24"/>
        </w:rPr>
        <w:t>Bonifaclo</w:t>
      </w:r>
      <w:proofErr w:type="spellEnd"/>
      <w:r w:rsidRPr="006E4AE7">
        <w:rPr>
          <w:rFonts w:ascii="Arial" w:hAnsi="Arial" w:cs="Arial"/>
          <w:sz w:val="24"/>
          <w:szCs w:val="24"/>
        </w:rPr>
        <w:t xml:space="preserve"> Global City,</w:t>
      </w:r>
    </w:p>
    <w:p w:rsidR="006E4AE7" w:rsidRDefault="006E4AE7" w:rsidP="006E4AE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6E4AE7">
        <w:rPr>
          <w:rFonts w:ascii="Arial" w:hAnsi="Arial" w:cs="Arial"/>
          <w:sz w:val="24"/>
          <w:szCs w:val="24"/>
        </w:rPr>
        <w:t>Taguig</w:t>
      </w:r>
      <w:proofErr w:type="spellEnd"/>
      <w:r w:rsidRPr="006E4AE7">
        <w:rPr>
          <w:rFonts w:ascii="Arial" w:hAnsi="Arial" w:cs="Arial"/>
          <w:sz w:val="24"/>
          <w:szCs w:val="24"/>
        </w:rPr>
        <w:t xml:space="preserve"> City Metro </w:t>
      </w:r>
      <w:proofErr w:type="spellStart"/>
      <w:r w:rsidRPr="006E4AE7">
        <w:rPr>
          <w:rFonts w:ascii="Arial" w:hAnsi="Arial" w:cs="Arial"/>
          <w:sz w:val="24"/>
          <w:szCs w:val="24"/>
        </w:rPr>
        <w:t>Manilla</w:t>
      </w:r>
      <w:proofErr w:type="spellEnd"/>
    </w:p>
    <w:p w:rsidR="002A525B" w:rsidRDefault="002A525B" w:rsidP="006E4A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525B" w:rsidRPr="006E4AE7" w:rsidRDefault="002A525B" w:rsidP="006E4A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4AE7" w:rsidRPr="006E4AE7" w:rsidRDefault="006E4AE7" w:rsidP="006E4A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4AE7" w:rsidRPr="002A525B" w:rsidRDefault="006E4AE7" w:rsidP="006E4A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525B">
        <w:rPr>
          <w:rFonts w:ascii="Arial" w:hAnsi="Arial" w:cs="Arial"/>
          <w:b/>
          <w:sz w:val="24"/>
          <w:szCs w:val="24"/>
        </w:rPr>
        <w:t xml:space="preserve">TIMELINE FOR OFFERING OF PRE-DETERMINED AREAS (OPDA) AND APPLICATION </w:t>
      </w:r>
      <w:proofErr w:type="gramStart"/>
      <w:r w:rsidRPr="002A525B">
        <w:rPr>
          <w:rFonts w:ascii="Arial" w:hAnsi="Arial" w:cs="Arial"/>
          <w:b/>
          <w:sz w:val="24"/>
          <w:szCs w:val="24"/>
        </w:rPr>
        <w:t>Under</w:t>
      </w:r>
      <w:proofErr w:type="gramEnd"/>
      <w:r w:rsidRPr="002A525B">
        <w:rPr>
          <w:rFonts w:ascii="Arial" w:hAnsi="Arial" w:cs="Arial"/>
          <w:b/>
          <w:sz w:val="24"/>
          <w:szCs w:val="24"/>
        </w:rPr>
        <w:t xml:space="preserve"> the Omnibus Guidelines for RE Contract Application</w:t>
      </w:r>
    </w:p>
    <w:p w:rsidR="006E4AE7" w:rsidRPr="002A525B" w:rsidRDefault="006E4AE7" w:rsidP="006E4A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525B">
        <w:rPr>
          <w:rFonts w:ascii="Arial" w:hAnsi="Arial" w:cs="Arial"/>
          <w:b/>
          <w:sz w:val="24"/>
          <w:szCs w:val="24"/>
        </w:rPr>
        <w:t>Pursuant to Department Circular (DC) No.</w:t>
      </w:r>
      <w:proofErr w:type="gramEnd"/>
      <w:r w:rsidRPr="002A525B">
        <w:rPr>
          <w:rFonts w:ascii="Arial" w:hAnsi="Arial" w:cs="Arial"/>
          <w:b/>
          <w:sz w:val="24"/>
          <w:szCs w:val="24"/>
        </w:rPr>
        <w:t xml:space="preserve"> DC2019-</w:t>
      </w:r>
    </w:p>
    <w:p w:rsidR="006E4AE7" w:rsidRDefault="006E4AE7" w:rsidP="006E4AE7">
      <w:pPr>
        <w:rPr>
          <w:rFonts w:ascii="Arial" w:hAnsi="Arial" w:cs="Arial"/>
          <w:sz w:val="24"/>
          <w:szCs w:val="24"/>
        </w:rPr>
      </w:pPr>
    </w:p>
    <w:p w:rsidR="002A525B" w:rsidRPr="006E4AE7" w:rsidRDefault="002A525B" w:rsidP="006E4AE7">
      <w:pPr>
        <w:rPr>
          <w:rFonts w:ascii="Arial" w:hAnsi="Arial" w:cs="Arial"/>
          <w:sz w:val="24"/>
          <w:szCs w:val="24"/>
        </w:rPr>
      </w:pP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1. Publication date of PDAs (Day 1) </w:t>
      </w: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2. Pre-Submission Conference (Day 1 + Twenty (20) calendar days) </w:t>
      </w: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3. Deadline for the submission of documents by PDA applicants (Day I + 180 calendar days, on or before 1 100H to be submitted at the DOE Records Section) </w:t>
      </w: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4. Opening of documents (Day 1 + 180 calendar days, 1330H, at the DOE-AVR or as determined by the REC) </w:t>
      </w: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5. Evaluation of documents (Day 181 + 15 working days) </w:t>
      </w: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6. Endorsement to the Secretary (Day 196 + 5 working days) </w:t>
      </w:r>
    </w:p>
    <w:p w:rsidR="006E4AE7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 xml:space="preserve">7. Secretary’s Approval (Day 201 + 5 working days) </w:t>
      </w:r>
    </w:p>
    <w:p w:rsidR="004041B9" w:rsidRPr="006E4AE7" w:rsidRDefault="006E4AE7" w:rsidP="006E4AE7">
      <w:pPr>
        <w:rPr>
          <w:rFonts w:ascii="Arial" w:hAnsi="Arial" w:cs="Arial"/>
          <w:sz w:val="24"/>
          <w:szCs w:val="24"/>
        </w:rPr>
      </w:pPr>
      <w:r w:rsidRPr="006E4AE7">
        <w:rPr>
          <w:rFonts w:ascii="Arial" w:hAnsi="Arial" w:cs="Arial"/>
          <w:sz w:val="24"/>
          <w:szCs w:val="24"/>
        </w:rPr>
        <w:t>9. Payment of Processing Fee and Awarding of</w:t>
      </w:r>
      <w:r>
        <w:rPr>
          <w:rFonts w:ascii="Arial" w:hAnsi="Arial" w:cs="Arial"/>
          <w:sz w:val="24"/>
          <w:szCs w:val="24"/>
        </w:rPr>
        <w:t xml:space="preserve"> RE Contract (</w:t>
      </w:r>
      <w:r w:rsidRPr="006E4AE7">
        <w:rPr>
          <w:rFonts w:ascii="Arial" w:hAnsi="Arial" w:cs="Arial"/>
          <w:sz w:val="24"/>
          <w:szCs w:val="24"/>
        </w:rPr>
        <w:t>(Day 236 + 7 working days)</w:t>
      </w:r>
      <w:bookmarkStart w:id="0" w:name="_GoBack"/>
      <w:bookmarkEnd w:id="0"/>
    </w:p>
    <w:sectPr w:rsidR="004041B9" w:rsidRPr="006E4AE7" w:rsidSect="001C4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4AE7"/>
    <w:rsid w:val="001C4C5B"/>
    <w:rsid w:val="002A525B"/>
    <w:rsid w:val="00335C64"/>
    <w:rsid w:val="004041B9"/>
    <w:rsid w:val="006E4AE7"/>
    <w:rsid w:val="00A95686"/>
    <w:rsid w:val="00D77F8B"/>
    <w:rsid w:val="00E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AttyMariz</dc:creator>
  <cp:keywords/>
  <dc:description/>
  <cp:lastModifiedBy>mcerezo</cp:lastModifiedBy>
  <cp:revision>5</cp:revision>
  <dcterms:created xsi:type="dcterms:W3CDTF">2019-05-18T05:13:00Z</dcterms:created>
  <dcterms:modified xsi:type="dcterms:W3CDTF">2019-05-20T01:33:00Z</dcterms:modified>
</cp:coreProperties>
</file>