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228F" w14:textId="45CDF137" w:rsidR="00F16097" w:rsidRDefault="009B46DD" w:rsidP="00137334">
      <w:pPr>
        <w:tabs>
          <w:tab w:val="left" w:pos="1620"/>
        </w:tabs>
        <w:jc w:val="cente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136BF134" w14:textId="77777777" w:rsidR="00F16097" w:rsidRDefault="00F16097" w:rsidP="00AD5FC3">
      <w:pPr>
        <w:jc w:val="center"/>
        <w:rPr>
          <w:b/>
          <w:bCs/>
          <w:sz w:val="24"/>
          <w:szCs w:val="24"/>
        </w:rPr>
      </w:pPr>
    </w:p>
    <w:p w14:paraId="005795E4" w14:textId="77777777" w:rsidR="009B46DD" w:rsidRDefault="009B46DD" w:rsidP="00AD5FC3">
      <w:pPr>
        <w:jc w:val="center"/>
        <w:rPr>
          <w:b/>
          <w:bCs/>
          <w:sz w:val="24"/>
          <w:szCs w:val="24"/>
        </w:rPr>
      </w:pPr>
    </w:p>
    <w:p w14:paraId="18F043B5" w14:textId="77777777" w:rsidR="002A6848" w:rsidRDefault="002A6848" w:rsidP="00AD5FC3">
      <w:pPr>
        <w:jc w:val="center"/>
        <w:rPr>
          <w:b/>
          <w:bCs/>
          <w:sz w:val="24"/>
          <w:szCs w:val="24"/>
        </w:rPr>
      </w:pPr>
    </w:p>
    <w:p w14:paraId="4E1C8038" w14:textId="19D84588" w:rsidR="006943EE" w:rsidRPr="00470206" w:rsidRDefault="008C636B" w:rsidP="00AD5FC3">
      <w:pPr>
        <w:jc w:val="center"/>
        <w:rPr>
          <w:b/>
          <w:bCs/>
          <w:sz w:val="24"/>
          <w:szCs w:val="24"/>
        </w:rPr>
      </w:pPr>
      <w:r w:rsidRPr="00470206">
        <w:rPr>
          <w:b/>
          <w:bCs/>
          <w:sz w:val="24"/>
          <w:szCs w:val="24"/>
        </w:rPr>
        <w:t xml:space="preserve">DEPARTMENT CIRCULAR NO. </w:t>
      </w:r>
      <w:r w:rsidR="00AD5FC3" w:rsidRPr="00470206">
        <w:rPr>
          <w:b/>
          <w:bCs/>
          <w:sz w:val="24"/>
          <w:szCs w:val="24"/>
        </w:rPr>
        <w:t>______</w:t>
      </w:r>
      <w:r w:rsidRPr="00470206">
        <w:rPr>
          <w:b/>
          <w:bCs/>
          <w:sz w:val="24"/>
          <w:szCs w:val="24"/>
        </w:rPr>
        <w:t>_______________</w:t>
      </w:r>
    </w:p>
    <w:p w14:paraId="0CB8CB52" w14:textId="77777777" w:rsidR="008C636B" w:rsidRPr="00470206" w:rsidRDefault="008C636B" w:rsidP="00AD5FC3">
      <w:pPr>
        <w:jc w:val="center"/>
        <w:rPr>
          <w:b/>
          <w:bCs/>
          <w:sz w:val="24"/>
          <w:szCs w:val="24"/>
        </w:rPr>
      </w:pPr>
    </w:p>
    <w:p w14:paraId="4EE5C23B" w14:textId="77777777" w:rsidR="008C636B" w:rsidRPr="00470206" w:rsidRDefault="008C636B" w:rsidP="00AD5FC3">
      <w:pPr>
        <w:jc w:val="center"/>
        <w:rPr>
          <w:b/>
          <w:bCs/>
          <w:sz w:val="24"/>
          <w:szCs w:val="24"/>
        </w:rPr>
      </w:pPr>
    </w:p>
    <w:p w14:paraId="63BEA922" w14:textId="42C92719" w:rsidR="008C636B" w:rsidRPr="00470206" w:rsidRDefault="008C636B" w:rsidP="00AD5FC3">
      <w:pPr>
        <w:jc w:val="center"/>
        <w:rPr>
          <w:b/>
          <w:bCs/>
          <w:sz w:val="24"/>
          <w:szCs w:val="24"/>
        </w:rPr>
      </w:pPr>
      <w:r w:rsidRPr="000A079C">
        <w:rPr>
          <w:b/>
          <w:bCs/>
          <w:sz w:val="24"/>
          <w:szCs w:val="24"/>
        </w:rPr>
        <w:t xml:space="preserve">AMENDMENT TO DEPARTMENT CIRCULAR NO. </w:t>
      </w:r>
      <w:r w:rsidR="00E752CC" w:rsidRPr="000A079C">
        <w:rPr>
          <w:b/>
          <w:bCs/>
          <w:sz w:val="24"/>
          <w:szCs w:val="24"/>
        </w:rPr>
        <w:t>DC2025-03-00</w:t>
      </w:r>
      <w:r w:rsidR="002B5328" w:rsidRPr="000A079C">
        <w:rPr>
          <w:b/>
          <w:bCs/>
          <w:sz w:val="24"/>
          <w:szCs w:val="24"/>
        </w:rPr>
        <w:t>0</w:t>
      </w:r>
      <w:r w:rsidR="00E752CC" w:rsidRPr="000A079C">
        <w:rPr>
          <w:b/>
          <w:bCs/>
          <w:sz w:val="24"/>
          <w:szCs w:val="24"/>
        </w:rPr>
        <w:t>4</w:t>
      </w:r>
      <w:r w:rsidRPr="000A079C">
        <w:rPr>
          <w:b/>
          <w:bCs/>
          <w:sz w:val="24"/>
          <w:szCs w:val="24"/>
        </w:rPr>
        <w:t xml:space="preserve"> TITLED, PROVIDING THE REVISED GUIDELINES FOR THE GREEN ENERGY AUCTION PROGRAM IN THE PHILIPPINES</w:t>
      </w:r>
    </w:p>
    <w:p w14:paraId="4694F21C" w14:textId="77777777" w:rsidR="008C636B" w:rsidRPr="00470206" w:rsidRDefault="008C636B" w:rsidP="00AD5FC3">
      <w:pPr>
        <w:jc w:val="center"/>
        <w:rPr>
          <w:b/>
          <w:bCs/>
          <w:sz w:val="24"/>
          <w:szCs w:val="24"/>
        </w:rPr>
      </w:pPr>
    </w:p>
    <w:p w14:paraId="3B00EFCF" w14:textId="77777777" w:rsidR="008C636B" w:rsidRPr="00470206" w:rsidRDefault="008C636B" w:rsidP="00AD5FC3">
      <w:pPr>
        <w:jc w:val="both"/>
        <w:rPr>
          <w:b/>
          <w:bCs/>
          <w:sz w:val="24"/>
          <w:szCs w:val="24"/>
        </w:rPr>
      </w:pPr>
    </w:p>
    <w:p w14:paraId="08AC6E82" w14:textId="52F08CA8" w:rsidR="008C636B" w:rsidRPr="00470206" w:rsidRDefault="008C636B" w:rsidP="00AD5FC3">
      <w:pPr>
        <w:jc w:val="both"/>
        <w:rPr>
          <w:sz w:val="24"/>
          <w:szCs w:val="24"/>
        </w:rPr>
      </w:pPr>
      <w:r w:rsidRPr="00470206">
        <w:rPr>
          <w:b/>
          <w:bCs/>
          <w:sz w:val="24"/>
          <w:szCs w:val="24"/>
        </w:rPr>
        <w:t>WHEREAS,</w:t>
      </w:r>
      <w:r w:rsidRPr="00470206">
        <w:rPr>
          <w:sz w:val="24"/>
          <w:szCs w:val="24"/>
        </w:rPr>
        <w:t xml:space="preserve"> the Department of Energy (DOE) issued the </w:t>
      </w:r>
      <w:r w:rsidR="00D100B8">
        <w:rPr>
          <w:sz w:val="24"/>
          <w:szCs w:val="24"/>
        </w:rPr>
        <w:t>R</w:t>
      </w:r>
      <w:r w:rsidRPr="00470206">
        <w:rPr>
          <w:sz w:val="24"/>
          <w:szCs w:val="24"/>
        </w:rPr>
        <w:t>evised Guidelines for the Green Energy Auction Program (GEAP) through Department Circular (DC) No. DC2021-11-0036</w:t>
      </w:r>
      <w:r w:rsidR="00AA4D4A" w:rsidRPr="00470206">
        <w:rPr>
          <w:sz w:val="24"/>
          <w:szCs w:val="24"/>
        </w:rPr>
        <w:t>, o</w:t>
      </w:r>
      <w:r w:rsidR="003A5983" w:rsidRPr="00470206">
        <w:rPr>
          <w:sz w:val="24"/>
          <w:szCs w:val="24"/>
        </w:rPr>
        <w:t xml:space="preserve">r </w:t>
      </w:r>
      <w:r w:rsidR="00AA4D4A" w:rsidRPr="00470206">
        <w:rPr>
          <w:sz w:val="24"/>
          <w:szCs w:val="24"/>
        </w:rPr>
        <w:t xml:space="preserve">the “GEAP Guidelines,” </w:t>
      </w:r>
      <w:r w:rsidR="008756BA" w:rsidRPr="00470206">
        <w:rPr>
          <w:sz w:val="24"/>
          <w:szCs w:val="24"/>
        </w:rPr>
        <w:t>on 03 November 2021</w:t>
      </w:r>
      <w:r w:rsidRPr="00470206">
        <w:rPr>
          <w:sz w:val="24"/>
          <w:szCs w:val="24"/>
        </w:rPr>
        <w:t>;</w:t>
      </w:r>
    </w:p>
    <w:p w14:paraId="3D9591A4" w14:textId="77777777" w:rsidR="008C636B" w:rsidRPr="00470206" w:rsidRDefault="008C636B" w:rsidP="00AD5FC3">
      <w:pPr>
        <w:jc w:val="both"/>
        <w:rPr>
          <w:sz w:val="24"/>
          <w:szCs w:val="24"/>
        </w:rPr>
      </w:pPr>
    </w:p>
    <w:p w14:paraId="362E7EB0" w14:textId="7150DAC6" w:rsidR="00F2718B" w:rsidRPr="00470206" w:rsidRDefault="008C636B" w:rsidP="00AD5FC3">
      <w:pPr>
        <w:jc w:val="both"/>
        <w:rPr>
          <w:sz w:val="24"/>
          <w:szCs w:val="24"/>
        </w:rPr>
      </w:pPr>
      <w:r w:rsidRPr="00470206">
        <w:rPr>
          <w:b/>
          <w:bCs/>
          <w:sz w:val="24"/>
          <w:szCs w:val="24"/>
        </w:rPr>
        <w:t>WHEREAS,</w:t>
      </w:r>
      <w:r w:rsidR="008756BA" w:rsidRPr="00470206">
        <w:rPr>
          <w:sz w:val="24"/>
          <w:szCs w:val="24"/>
        </w:rPr>
        <w:t xml:space="preserve"> </w:t>
      </w:r>
      <w:r w:rsidR="005D4A02" w:rsidRPr="00470206">
        <w:rPr>
          <w:sz w:val="24"/>
          <w:szCs w:val="24"/>
        </w:rPr>
        <w:t xml:space="preserve">through </w:t>
      </w:r>
      <w:r w:rsidRPr="00470206">
        <w:rPr>
          <w:sz w:val="24"/>
          <w:szCs w:val="24"/>
        </w:rPr>
        <w:t>the GEAP</w:t>
      </w:r>
      <w:r w:rsidR="005D4A02" w:rsidRPr="00470206">
        <w:rPr>
          <w:sz w:val="24"/>
          <w:szCs w:val="24"/>
        </w:rPr>
        <w:t>, DOE</w:t>
      </w:r>
      <w:r w:rsidR="00F2718B" w:rsidRPr="00470206">
        <w:rPr>
          <w:sz w:val="24"/>
          <w:szCs w:val="24"/>
        </w:rPr>
        <w:t xml:space="preserve"> </w:t>
      </w:r>
      <w:r w:rsidR="005D4A02" w:rsidRPr="00470206">
        <w:rPr>
          <w:sz w:val="24"/>
          <w:szCs w:val="24"/>
        </w:rPr>
        <w:t>instituted</w:t>
      </w:r>
      <w:r w:rsidR="00F2718B" w:rsidRPr="00470206">
        <w:rPr>
          <w:sz w:val="24"/>
          <w:szCs w:val="24"/>
        </w:rPr>
        <w:t xml:space="preserve"> </w:t>
      </w:r>
      <w:r w:rsidR="008756BA" w:rsidRPr="00470206">
        <w:rPr>
          <w:sz w:val="24"/>
          <w:szCs w:val="24"/>
        </w:rPr>
        <w:t>a</w:t>
      </w:r>
      <w:r w:rsidR="005D4A02" w:rsidRPr="00470206">
        <w:rPr>
          <w:sz w:val="24"/>
          <w:szCs w:val="24"/>
        </w:rPr>
        <w:t xml:space="preserve"> competitive</w:t>
      </w:r>
      <w:r w:rsidR="008756BA" w:rsidRPr="00470206">
        <w:rPr>
          <w:sz w:val="24"/>
          <w:szCs w:val="24"/>
        </w:rPr>
        <w:t xml:space="preserve"> process </w:t>
      </w:r>
      <w:r w:rsidR="005D4A02" w:rsidRPr="00470206">
        <w:rPr>
          <w:sz w:val="24"/>
          <w:szCs w:val="24"/>
        </w:rPr>
        <w:t>in</w:t>
      </w:r>
      <w:r w:rsidR="00F2718B" w:rsidRPr="00470206">
        <w:rPr>
          <w:sz w:val="24"/>
          <w:szCs w:val="24"/>
        </w:rPr>
        <w:t xml:space="preserve"> the selection of eligible renewable energy (RE) facilities entitled to the </w:t>
      </w:r>
      <w:r w:rsidR="008756BA" w:rsidRPr="00470206">
        <w:rPr>
          <w:sz w:val="24"/>
          <w:szCs w:val="24"/>
        </w:rPr>
        <w:t>Feed-In Tariff Allowance (FIT</w:t>
      </w:r>
      <w:r w:rsidR="003A5983" w:rsidRPr="00470206">
        <w:rPr>
          <w:sz w:val="24"/>
          <w:szCs w:val="24"/>
        </w:rPr>
        <w:t>-</w:t>
      </w:r>
      <w:r w:rsidR="008756BA" w:rsidRPr="00470206">
        <w:rPr>
          <w:sz w:val="24"/>
          <w:szCs w:val="24"/>
        </w:rPr>
        <w:t>All) Fund</w:t>
      </w:r>
      <w:r w:rsidR="00F2718B" w:rsidRPr="00470206">
        <w:rPr>
          <w:sz w:val="24"/>
          <w:szCs w:val="24"/>
        </w:rPr>
        <w:t>;</w:t>
      </w:r>
    </w:p>
    <w:p w14:paraId="2BC03772" w14:textId="77777777" w:rsidR="00F2718B" w:rsidRPr="00470206" w:rsidRDefault="00F2718B" w:rsidP="00AD5FC3">
      <w:pPr>
        <w:jc w:val="both"/>
        <w:rPr>
          <w:sz w:val="24"/>
          <w:szCs w:val="24"/>
        </w:rPr>
      </w:pPr>
    </w:p>
    <w:p w14:paraId="259EFADA" w14:textId="02BBF6C9" w:rsidR="007039EF" w:rsidRPr="00470206" w:rsidRDefault="00F2718B" w:rsidP="00AD5FC3">
      <w:pPr>
        <w:jc w:val="both"/>
        <w:rPr>
          <w:sz w:val="24"/>
          <w:szCs w:val="24"/>
        </w:rPr>
      </w:pPr>
      <w:r w:rsidRPr="00470206">
        <w:rPr>
          <w:b/>
          <w:bCs/>
          <w:sz w:val="24"/>
          <w:szCs w:val="24"/>
        </w:rPr>
        <w:t xml:space="preserve">WHEREAS, </w:t>
      </w:r>
      <w:r w:rsidR="007039EF" w:rsidRPr="00470206">
        <w:rPr>
          <w:sz w:val="24"/>
          <w:szCs w:val="24"/>
        </w:rPr>
        <w:t xml:space="preserve">under the GEAP, </w:t>
      </w:r>
      <w:r w:rsidR="005D4A02" w:rsidRPr="00470206">
        <w:rPr>
          <w:sz w:val="24"/>
          <w:szCs w:val="24"/>
        </w:rPr>
        <w:t xml:space="preserve">the </w:t>
      </w:r>
      <w:r w:rsidR="007039EF" w:rsidRPr="00470206">
        <w:rPr>
          <w:sz w:val="24"/>
          <w:szCs w:val="24"/>
        </w:rPr>
        <w:t>Feed-In Tariff (FIT) to be paid to the selected eligible RE facilities is fixed based on the price</w:t>
      </w:r>
      <w:r w:rsidR="003A5983" w:rsidRPr="00470206">
        <w:rPr>
          <w:sz w:val="24"/>
          <w:szCs w:val="24"/>
        </w:rPr>
        <w:t xml:space="preserve"> (</w:t>
      </w:r>
      <w:r w:rsidR="007039EF" w:rsidRPr="00470206">
        <w:rPr>
          <w:sz w:val="24"/>
          <w:szCs w:val="24"/>
        </w:rPr>
        <w:t xml:space="preserve">in </w:t>
      </w:r>
      <w:proofErr w:type="spellStart"/>
      <w:r w:rsidR="007039EF" w:rsidRPr="00470206">
        <w:rPr>
          <w:sz w:val="24"/>
          <w:szCs w:val="24"/>
        </w:rPr>
        <w:t>Php</w:t>
      </w:r>
      <w:proofErr w:type="spellEnd"/>
      <w:r w:rsidR="007039EF" w:rsidRPr="00470206">
        <w:rPr>
          <w:sz w:val="24"/>
          <w:szCs w:val="24"/>
        </w:rPr>
        <w:t>/kWh</w:t>
      </w:r>
      <w:r w:rsidR="003A5983" w:rsidRPr="00470206">
        <w:rPr>
          <w:sz w:val="24"/>
          <w:szCs w:val="24"/>
        </w:rPr>
        <w:t>)</w:t>
      </w:r>
      <w:r w:rsidR="007039EF" w:rsidRPr="00470206">
        <w:rPr>
          <w:sz w:val="24"/>
          <w:szCs w:val="24"/>
        </w:rPr>
        <w:t xml:space="preserve"> of</w:t>
      </w:r>
      <w:r w:rsidR="004926C4" w:rsidRPr="00470206">
        <w:rPr>
          <w:sz w:val="24"/>
          <w:szCs w:val="24"/>
        </w:rPr>
        <w:t xml:space="preserve"> the Winning Bidder’s </w:t>
      </w:r>
      <w:r w:rsidR="007039EF" w:rsidRPr="00470206">
        <w:rPr>
          <w:sz w:val="24"/>
          <w:szCs w:val="24"/>
        </w:rPr>
        <w:t xml:space="preserve">offered </w:t>
      </w:r>
      <w:r w:rsidR="004926C4" w:rsidRPr="00470206">
        <w:rPr>
          <w:sz w:val="24"/>
          <w:szCs w:val="24"/>
        </w:rPr>
        <w:t>capacity in a Green Energy Auction</w:t>
      </w:r>
      <w:r w:rsidR="00AA4D4A" w:rsidRPr="00470206">
        <w:rPr>
          <w:sz w:val="24"/>
          <w:szCs w:val="24"/>
        </w:rPr>
        <w:t>, known as the “Green Energy Tariff” (GET)</w:t>
      </w:r>
      <w:r w:rsidR="004926C4" w:rsidRPr="00470206">
        <w:rPr>
          <w:sz w:val="24"/>
          <w:szCs w:val="24"/>
        </w:rPr>
        <w:t>;</w:t>
      </w:r>
    </w:p>
    <w:p w14:paraId="28AE9D7B" w14:textId="77777777" w:rsidR="007039EF" w:rsidRPr="00470206" w:rsidRDefault="007039EF" w:rsidP="00AD5FC3">
      <w:pPr>
        <w:jc w:val="both"/>
        <w:rPr>
          <w:sz w:val="24"/>
          <w:szCs w:val="24"/>
        </w:rPr>
      </w:pPr>
    </w:p>
    <w:p w14:paraId="072186DB" w14:textId="45E5E4A7" w:rsidR="00D100B8" w:rsidRDefault="00D100B8" w:rsidP="00AD5FC3">
      <w:pPr>
        <w:jc w:val="both"/>
        <w:rPr>
          <w:sz w:val="24"/>
          <w:szCs w:val="24"/>
        </w:rPr>
      </w:pPr>
      <w:r>
        <w:rPr>
          <w:b/>
          <w:bCs/>
          <w:sz w:val="24"/>
          <w:szCs w:val="24"/>
        </w:rPr>
        <w:t xml:space="preserve">WHEREAS, </w:t>
      </w:r>
      <w:r>
        <w:rPr>
          <w:sz w:val="24"/>
          <w:szCs w:val="24"/>
        </w:rPr>
        <w:t xml:space="preserve">DOE amended the GEAP Guidelines through (a) DC2023-09-0027, which clarifies that in the </w:t>
      </w:r>
      <w:proofErr w:type="spellStart"/>
      <w:r>
        <w:rPr>
          <w:sz w:val="24"/>
          <w:szCs w:val="24"/>
        </w:rPr>
        <w:t>availment</w:t>
      </w:r>
      <w:proofErr w:type="spellEnd"/>
      <w:r>
        <w:rPr>
          <w:sz w:val="24"/>
          <w:szCs w:val="24"/>
        </w:rPr>
        <w:t xml:space="preserve"> of the FIT-All Fund, the GET of a Winning Bidder shall be considered, interpreted, and accepted as the FIT; and (b) DC2025-03-0004,  which provides that the GET resulting from auctions under the GEAP shall be subject to indexation as may be determined by the </w:t>
      </w:r>
      <w:r w:rsidRPr="00470206">
        <w:rPr>
          <w:sz w:val="24"/>
          <w:szCs w:val="24"/>
        </w:rPr>
        <w:t>Energy Regulatory Commission (ERC)</w:t>
      </w:r>
      <w:r>
        <w:rPr>
          <w:sz w:val="24"/>
          <w:szCs w:val="24"/>
        </w:rPr>
        <w:t xml:space="preserve"> in accordance with the FIT Rules, among others;</w:t>
      </w:r>
    </w:p>
    <w:p w14:paraId="52736AF1" w14:textId="77777777" w:rsidR="00D100B8" w:rsidRDefault="00D100B8" w:rsidP="00AD5FC3">
      <w:pPr>
        <w:jc w:val="both"/>
        <w:rPr>
          <w:sz w:val="24"/>
          <w:szCs w:val="24"/>
        </w:rPr>
      </w:pPr>
    </w:p>
    <w:p w14:paraId="4A889D35" w14:textId="72B737AF" w:rsidR="00AA4D4A" w:rsidRPr="00470206" w:rsidRDefault="00D100B8" w:rsidP="00AD5FC3">
      <w:pPr>
        <w:jc w:val="both"/>
        <w:rPr>
          <w:sz w:val="24"/>
          <w:szCs w:val="24"/>
        </w:rPr>
      </w:pPr>
      <w:r w:rsidRPr="00D100B8">
        <w:rPr>
          <w:b/>
          <w:bCs/>
          <w:sz w:val="24"/>
          <w:szCs w:val="24"/>
        </w:rPr>
        <w:t>WHEREAS</w:t>
      </w:r>
      <w:r>
        <w:rPr>
          <w:sz w:val="24"/>
          <w:szCs w:val="24"/>
        </w:rPr>
        <w:t xml:space="preserve">, </w:t>
      </w:r>
      <w:r w:rsidR="00AA4D4A" w:rsidRPr="00D100B8">
        <w:rPr>
          <w:sz w:val="24"/>
          <w:szCs w:val="24"/>
        </w:rPr>
        <w:t>there</w:t>
      </w:r>
      <w:r w:rsidR="00AA4D4A" w:rsidRPr="00470206">
        <w:rPr>
          <w:sz w:val="24"/>
          <w:szCs w:val="24"/>
        </w:rPr>
        <w:t xml:space="preserve"> is a need to clarify the </w:t>
      </w:r>
      <w:r w:rsidR="00253720" w:rsidRPr="00470206">
        <w:rPr>
          <w:sz w:val="24"/>
          <w:szCs w:val="24"/>
        </w:rPr>
        <w:t xml:space="preserve">indexation </w:t>
      </w:r>
      <w:r>
        <w:rPr>
          <w:sz w:val="24"/>
          <w:szCs w:val="24"/>
        </w:rPr>
        <w:t>mentioned in DC2025-03-0004</w:t>
      </w:r>
      <w:r w:rsidR="00CF727D" w:rsidRPr="00470206">
        <w:rPr>
          <w:sz w:val="24"/>
          <w:szCs w:val="24"/>
        </w:rPr>
        <w:t>;</w:t>
      </w:r>
    </w:p>
    <w:p w14:paraId="46B41C66" w14:textId="77777777" w:rsidR="00CF727D" w:rsidRPr="00470206" w:rsidRDefault="00CF727D" w:rsidP="00AD5FC3">
      <w:pPr>
        <w:jc w:val="both"/>
        <w:rPr>
          <w:sz w:val="24"/>
          <w:szCs w:val="24"/>
        </w:rPr>
      </w:pPr>
    </w:p>
    <w:p w14:paraId="58CAEF48" w14:textId="79E027F6" w:rsidR="002F4432" w:rsidRPr="00470206" w:rsidRDefault="00AA4D4A" w:rsidP="008C1F09">
      <w:pPr>
        <w:jc w:val="both"/>
        <w:rPr>
          <w:sz w:val="24"/>
          <w:szCs w:val="24"/>
        </w:rPr>
      </w:pPr>
      <w:r w:rsidRPr="00470206">
        <w:rPr>
          <w:b/>
          <w:bCs/>
          <w:sz w:val="24"/>
          <w:szCs w:val="24"/>
        </w:rPr>
        <w:t xml:space="preserve">NOW, THEREFORE, </w:t>
      </w:r>
      <w:r w:rsidRPr="00470206">
        <w:rPr>
          <w:sz w:val="24"/>
          <w:szCs w:val="24"/>
        </w:rPr>
        <w:t>pursuant to its authority under Republic Act No. 9513, or the Renewable Energy Act of 2008, the DOE hereby adopts, issues</w:t>
      </w:r>
      <w:r w:rsidR="00B66C6B" w:rsidRPr="00470206">
        <w:rPr>
          <w:sz w:val="24"/>
          <w:szCs w:val="24"/>
        </w:rPr>
        <w:t>,</w:t>
      </w:r>
      <w:r w:rsidRPr="00470206">
        <w:rPr>
          <w:sz w:val="24"/>
          <w:szCs w:val="24"/>
        </w:rPr>
        <w:t xml:space="preserve"> and promulgates the following amendment to the GEAP Guidelines</w:t>
      </w:r>
      <w:r w:rsidR="00D601FF">
        <w:rPr>
          <w:sz w:val="24"/>
          <w:szCs w:val="24"/>
        </w:rPr>
        <w:t>:</w:t>
      </w:r>
    </w:p>
    <w:p w14:paraId="1BCAFEDA" w14:textId="77777777" w:rsidR="00A23CD0" w:rsidRPr="00470206" w:rsidRDefault="00A23CD0" w:rsidP="00A23CD0">
      <w:pPr>
        <w:ind w:right="5"/>
        <w:jc w:val="both"/>
        <w:rPr>
          <w:b/>
          <w:bCs/>
          <w:sz w:val="24"/>
          <w:szCs w:val="24"/>
        </w:rPr>
      </w:pPr>
    </w:p>
    <w:p w14:paraId="15351DF3" w14:textId="1E854EEE" w:rsidR="00B84B5C" w:rsidRPr="00470206" w:rsidRDefault="00F144DD" w:rsidP="00A23CD0">
      <w:pPr>
        <w:ind w:right="5"/>
        <w:jc w:val="both"/>
        <w:rPr>
          <w:b/>
          <w:bCs/>
          <w:sz w:val="24"/>
          <w:szCs w:val="24"/>
        </w:rPr>
      </w:pPr>
      <w:r w:rsidRPr="00470206">
        <w:rPr>
          <w:b/>
          <w:bCs/>
          <w:sz w:val="24"/>
          <w:szCs w:val="24"/>
        </w:rPr>
        <w:t xml:space="preserve">Section </w:t>
      </w:r>
      <w:r w:rsidR="00E752CC">
        <w:rPr>
          <w:b/>
          <w:bCs/>
          <w:sz w:val="24"/>
          <w:szCs w:val="24"/>
        </w:rPr>
        <w:t>1</w:t>
      </w:r>
      <w:r w:rsidRPr="00470206">
        <w:rPr>
          <w:b/>
          <w:bCs/>
          <w:sz w:val="24"/>
          <w:szCs w:val="24"/>
        </w:rPr>
        <w:t xml:space="preserve">. </w:t>
      </w:r>
      <w:r w:rsidR="00B84B5C" w:rsidRPr="00470206">
        <w:rPr>
          <w:sz w:val="24"/>
          <w:szCs w:val="24"/>
        </w:rPr>
        <w:t xml:space="preserve">Section 16 of the GEAP Guidelines is hereby </w:t>
      </w:r>
      <w:r w:rsidR="00D100B8">
        <w:rPr>
          <w:sz w:val="24"/>
          <w:szCs w:val="24"/>
        </w:rPr>
        <w:t xml:space="preserve">further </w:t>
      </w:r>
      <w:r w:rsidR="00B84B5C" w:rsidRPr="00470206">
        <w:rPr>
          <w:sz w:val="24"/>
          <w:szCs w:val="24"/>
        </w:rPr>
        <w:t>amended to read as follows:</w:t>
      </w:r>
    </w:p>
    <w:p w14:paraId="71F7652B" w14:textId="77777777" w:rsidR="00B84B5C" w:rsidRPr="00470206" w:rsidRDefault="00B84B5C" w:rsidP="00A23CD0">
      <w:pPr>
        <w:jc w:val="both"/>
        <w:rPr>
          <w:sz w:val="24"/>
          <w:szCs w:val="24"/>
        </w:rPr>
      </w:pPr>
    </w:p>
    <w:p w14:paraId="4FA0ECAC" w14:textId="2975BF28" w:rsidR="00B84B5C" w:rsidRPr="00470206" w:rsidRDefault="00B84B5C" w:rsidP="00A23CD0">
      <w:pPr>
        <w:ind w:left="1134" w:right="494"/>
        <w:jc w:val="both"/>
        <w:rPr>
          <w:sz w:val="24"/>
          <w:szCs w:val="24"/>
        </w:rPr>
      </w:pPr>
      <w:r w:rsidRPr="00470206">
        <w:rPr>
          <w:sz w:val="24"/>
          <w:szCs w:val="24"/>
        </w:rPr>
        <w:t>“16. Adoption of Certain Provisions in the FIT Rules. The GEA adopts the Regulatory Framework and Administration of FITs provided under Resolution No. 16, Series of 2010</w:t>
      </w:r>
      <w:r w:rsidR="00D100B8">
        <w:rPr>
          <w:sz w:val="24"/>
          <w:szCs w:val="24"/>
        </w:rPr>
        <w:t xml:space="preserve"> </w:t>
      </w:r>
      <w:r w:rsidR="00D100B8" w:rsidRPr="000D3C12">
        <w:rPr>
          <w:b/>
          <w:bCs/>
          <w:sz w:val="24"/>
          <w:szCs w:val="24"/>
        </w:rPr>
        <w:t>(FIT Rules)</w:t>
      </w:r>
      <w:r w:rsidR="00CD570A" w:rsidRPr="00470206">
        <w:rPr>
          <w:sz w:val="24"/>
          <w:szCs w:val="24"/>
        </w:rPr>
        <w:t>,</w:t>
      </w:r>
      <w:r w:rsidRPr="00470206">
        <w:rPr>
          <w:sz w:val="24"/>
          <w:szCs w:val="24"/>
        </w:rPr>
        <w:t xml:space="preserve"> issued by the ERC. However, the GEA pricing mechanism </w:t>
      </w:r>
      <w:r w:rsidR="00D100B8" w:rsidRPr="000D3C12">
        <w:rPr>
          <w:b/>
          <w:bCs/>
          <w:sz w:val="24"/>
          <w:szCs w:val="24"/>
        </w:rPr>
        <w:t>and indexation</w:t>
      </w:r>
      <w:r w:rsidR="00D100B8">
        <w:rPr>
          <w:sz w:val="24"/>
          <w:szCs w:val="24"/>
        </w:rPr>
        <w:t xml:space="preserve"> </w:t>
      </w:r>
      <w:r w:rsidRPr="00470206">
        <w:rPr>
          <w:sz w:val="24"/>
          <w:szCs w:val="24"/>
        </w:rPr>
        <w:t>shall be governed by Section</w:t>
      </w:r>
      <w:r w:rsidR="00D100B8" w:rsidRPr="000D3C12">
        <w:rPr>
          <w:b/>
          <w:bCs/>
          <w:sz w:val="24"/>
          <w:szCs w:val="24"/>
        </w:rPr>
        <w:t>s</w:t>
      </w:r>
      <w:r w:rsidRPr="00470206">
        <w:rPr>
          <w:sz w:val="24"/>
          <w:szCs w:val="24"/>
        </w:rPr>
        <w:t xml:space="preserve"> 8 </w:t>
      </w:r>
      <w:r w:rsidR="00D100B8" w:rsidRPr="000D3C12">
        <w:rPr>
          <w:b/>
          <w:bCs/>
          <w:sz w:val="24"/>
          <w:szCs w:val="24"/>
        </w:rPr>
        <w:t>and 17</w:t>
      </w:r>
      <w:r w:rsidR="00D100B8">
        <w:rPr>
          <w:b/>
          <w:bCs/>
          <w:sz w:val="24"/>
          <w:szCs w:val="24"/>
        </w:rPr>
        <w:t>, respectively,</w:t>
      </w:r>
      <w:r w:rsidR="00D100B8">
        <w:rPr>
          <w:sz w:val="24"/>
          <w:szCs w:val="24"/>
        </w:rPr>
        <w:t xml:space="preserve"> </w:t>
      </w:r>
      <w:r w:rsidRPr="00470206">
        <w:rPr>
          <w:sz w:val="24"/>
          <w:szCs w:val="24"/>
        </w:rPr>
        <w:t xml:space="preserve">of this Circular. As such, other entities involved in the implementation of </w:t>
      </w:r>
      <w:r w:rsidR="00D100B8">
        <w:rPr>
          <w:sz w:val="24"/>
          <w:szCs w:val="24"/>
        </w:rPr>
        <w:t xml:space="preserve">the </w:t>
      </w:r>
      <w:r w:rsidRPr="00470206">
        <w:rPr>
          <w:sz w:val="24"/>
          <w:szCs w:val="24"/>
        </w:rPr>
        <w:t>FIT shall continue to discharge their responsibilities as set forth in the FIT Rules with respect to each auction round</w:t>
      </w:r>
      <w:r w:rsidR="00D100B8">
        <w:rPr>
          <w:sz w:val="24"/>
          <w:szCs w:val="24"/>
        </w:rPr>
        <w:t>.</w:t>
      </w:r>
      <w:r w:rsidR="00D601FF">
        <w:rPr>
          <w:sz w:val="24"/>
          <w:szCs w:val="24"/>
        </w:rPr>
        <w:t>”</w:t>
      </w:r>
      <w:r w:rsidRPr="00470206">
        <w:rPr>
          <w:sz w:val="24"/>
          <w:szCs w:val="24"/>
        </w:rPr>
        <w:t xml:space="preserve"> </w:t>
      </w:r>
    </w:p>
    <w:p w14:paraId="059DE3B4" w14:textId="77777777" w:rsidR="00B84B5C" w:rsidRPr="00470206" w:rsidRDefault="00B84B5C" w:rsidP="00AD5FC3">
      <w:pPr>
        <w:pStyle w:val="p2"/>
        <w:tabs>
          <w:tab w:val="left" w:pos="284"/>
          <w:tab w:val="left" w:pos="567"/>
          <w:tab w:val="left" w:pos="851"/>
          <w:tab w:val="left" w:pos="1134"/>
        </w:tabs>
        <w:jc w:val="both"/>
        <w:rPr>
          <w:rFonts w:ascii="Arial" w:hAnsi="Arial" w:cs="Arial"/>
          <w:b/>
          <w:bCs/>
          <w:sz w:val="24"/>
          <w:szCs w:val="24"/>
        </w:rPr>
      </w:pPr>
    </w:p>
    <w:p w14:paraId="29433960" w14:textId="77777777" w:rsidR="00235366" w:rsidRDefault="00235366" w:rsidP="00A23CD0">
      <w:pPr>
        <w:pStyle w:val="p2"/>
        <w:tabs>
          <w:tab w:val="left" w:pos="284"/>
          <w:tab w:val="left" w:pos="567"/>
          <w:tab w:val="left" w:pos="851"/>
          <w:tab w:val="left" w:pos="1134"/>
        </w:tabs>
        <w:jc w:val="both"/>
        <w:rPr>
          <w:rFonts w:ascii="Arial" w:hAnsi="Arial" w:cs="Arial"/>
          <w:b/>
          <w:bCs/>
          <w:sz w:val="24"/>
          <w:szCs w:val="24"/>
          <w:lang w:val="en-PH"/>
        </w:rPr>
      </w:pPr>
    </w:p>
    <w:p w14:paraId="5EE1BF6A" w14:textId="77777777" w:rsidR="00235366" w:rsidRDefault="00235366" w:rsidP="00A23CD0">
      <w:pPr>
        <w:pStyle w:val="p2"/>
        <w:tabs>
          <w:tab w:val="left" w:pos="284"/>
          <w:tab w:val="left" w:pos="567"/>
          <w:tab w:val="left" w:pos="851"/>
          <w:tab w:val="left" w:pos="1134"/>
        </w:tabs>
        <w:jc w:val="both"/>
        <w:rPr>
          <w:rFonts w:ascii="Arial" w:hAnsi="Arial" w:cs="Arial"/>
          <w:b/>
          <w:bCs/>
          <w:sz w:val="24"/>
          <w:szCs w:val="24"/>
          <w:lang w:val="en-PH"/>
        </w:rPr>
      </w:pPr>
    </w:p>
    <w:p w14:paraId="4F5CAE72" w14:textId="2546A0D1" w:rsidR="00D100B8" w:rsidRDefault="00D100B8" w:rsidP="00A23CD0">
      <w:pPr>
        <w:pStyle w:val="p2"/>
        <w:tabs>
          <w:tab w:val="left" w:pos="284"/>
          <w:tab w:val="left" w:pos="567"/>
          <w:tab w:val="left" w:pos="851"/>
          <w:tab w:val="left" w:pos="1134"/>
        </w:tabs>
        <w:jc w:val="both"/>
        <w:rPr>
          <w:rFonts w:ascii="Arial" w:hAnsi="Arial" w:cs="Arial"/>
          <w:sz w:val="24"/>
          <w:szCs w:val="24"/>
          <w:lang w:val="en-PH"/>
        </w:rPr>
      </w:pPr>
      <w:r>
        <w:rPr>
          <w:rFonts w:ascii="Arial" w:hAnsi="Arial" w:cs="Arial"/>
          <w:b/>
          <w:bCs/>
          <w:sz w:val="24"/>
          <w:szCs w:val="24"/>
          <w:lang w:val="en-PH"/>
        </w:rPr>
        <w:t xml:space="preserve">Section 2. </w:t>
      </w:r>
      <w:r>
        <w:rPr>
          <w:rFonts w:ascii="Arial" w:hAnsi="Arial" w:cs="Arial"/>
          <w:sz w:val="24"/>
          <w:szCs w:val="24"/>
          <w:lang w:val="en-PH"/>
        </w:rPr>
        <w:t xml:space="preserve">A new provision </w:t>
      </w:r>
      <w:r w:rsidR="00D601FF">
        <w:rPr>
          <w:rFonts w:ascii="Arial" w:hAnsi="Arial" w:cs="Arial"/>
          <w:sz w:val="24"/>
          <w:szCs w:val="24"/>
          <w:lang w:val="en-PH"/>
        </w:rPr>
        <w:t xml:space="preserve">in the GEAP Guidelines </w:t>
      </w:r>
      <w:r>
        <w:rPr>
          <w:rFonts w:ascii="Arial" w:hAnsi="Arial" w:cs="Arial"/>
          <w:sz w:val="24"/>
          <w:szCs w:val="24"/>
          <w:lang w:val="en-PH"/>
        </w:rPr>
        <w:t>is hereby inserted</w:t>
      </w:r>
      <w:r w:rsidR="00D601FF">
        <w:rPr>
          <w:rFonts w:ascii="Arial" w:hAnsi="Arial" w:cs="Arial"/>
          <w:sz w:val="24"/>
          <w:szCs w:val="24"/>
          <w:lang w:val="en-PH"/>
        </w:rPr>
        <w:t xml:space="preserve"> as Section 17,</w:t>
      </w:r>
      <w:r>
        <w:rPr>
          <w:rFonts w:ascii="Arial" w:hAnsi="Arial" w:cs="Arial"/>
          <w:sz w:val="24"/>
          <w:szCs w:val="24"/>
          <w:lang w:val="en-PH"/>
        </w:rPr>
        <w:t xml:space="preserve"> which states:</w:t>
      </w:r>
    </w:p>
    <w:p w14:paraId="04C11A07" w14:textId="77777777" w:rsidR="00D100B8" w:rsidRDefault="00D100B8" w:rsidP="00A23CD0">
      <w:pPr>
        <w:pStyle w:val="p2"/>
        <w:tabs>
          <w:tab w:val="left" w:pos="284"/>
          <w:tab w:val="left" w:pos="567"/>
          <w:tab w:val="left" w:pos="851"/>
          <w:tab w:val="left" w:pos="1134"/>
        </w:tabs>
        <w:jc w:val="both"/>
        <w:rPr>
          <w:rFonts w:ascii="Arial" w:hAnsi="Arial" w:cs="Arial"/>
          <w:sz w:val="24"/>
          <w:szCs w:val="24"/>
          <w:lang w:val="en-PH"/>
        </w:rPr>
      </w:pPr>
    </w:p>
    <w:p w14:paraId="5E2C9736" w14:textId="7397C527" w:rsidR="0068472A" w:rsidRPr="00684C2C" w:rsidRDefault="00684C2C" w:rsidP="00A16BD1">
      <w:pPr>
        <w:pStyle w:val="p2"/>
        <w:tabs>
          <w:tab w:val="left" w:pos="284"/>
          <w:tab w:val="left" w:pos="567"/>
          <w:tab w:val="left" w:pos="851"/>
          <w:tab w:val="left" w:pos="1134"/>
        </w:tabs>
        <w:ind w:left="1134" w:right="494"/>
        <w:jc w:val="both"/>
        <w:rPr>
          <w:rFonts w:ascii="Arial" w:hAnsi="Arial" w:cs="Arial"/>
          <w:sz w:val="24"/>
          <w:szCs w:val="24"/>
          <w:lang w:val="en-PH"/>
        </w:rPr>
      </w:pPr>
      <w:r>
        <w:rPr>
          <w:rFonts w:ascii="Arial" w:hAnsi="Arial" w:cs="Arial"/>
          <w:sz w:val="24"/>
          <w:szCs w:val="24"/>
          <w:lang w:val="en-PH"/>
        </w:rPr>
        <w:t>“</w:t>
      </w:r>
      <w:r w:rsidR="00736E7D" w:rsidRPr="00684C2C">
        <w:rPr>
          <w:rFonts w:ascii="Arial" w:hAnsi="Arial" w:cs="Arial"/>
          <w:sz w:val="24"/>
          <w:szCs w:val="24"/>
          <w:lang w:val="en-PH"/>
        </w:rPr>
        <w:t>17. Adjustment to the GETs. The GET of a Winning Bidder resulting from the Green Energy Auction conducted after the effectivity of this amendment to the GEAP Guidelines shall include indexation. In such determination, the ERC shall employ a formula for indexation applicable to the foreign exchange components of the capital cost, and a streamlined procedure for the implementation of such adjustment, as may be allowed under applicable laws, rules and regulations: Provided, That, notwithstanding the FIT Rules and other provisions of this Circular to the contrary, the GET of a Winning Bidder shall be adjusted for indexation only once, which shall be applied at any time between the issuance of the Certificate of Award and the commencement of commercial operations of the Winning Bidder’s RE Facility.</w:t>
      </w:r>
      <w:r>
        <w:rPr>
          <w:rFonts w:ascii="Arial" w:hAnsi="Arial" w:cs="Arial"/>
          <w:sz w:val="24"/>
          <w:szCs w:val="24"/>
          <w:lang w:val="en-PH"/>
        </w:rPr>
        <w:t>”</w:t>
      </w:r>
    </w:p>
    <w:p w14:paraId="5588B440" w14:textId="77777777" w:rsidR="00D100B8" w:rsidRDefault="00D100B8" w:rsidP="00D100B8">
      <w:pPr>
        <w:pStyle w:val="p2"/>
        <w:tabs>
          <w:tab w:val="left" w:pos="284"/>
          <w:tab w:val="left" w:pos="567"/>
          <w:tab w:val="left" w:pos="851"/>
          <w:tab w:val="left" w:pos="1134"/>
        </w:tabs>
        <w:ind w:left="1134" w:right="494"/>
        <w:jc w:val="both"/>
        <w:rPr>
          <w:rFonts w:ascii="Arial" w:hAnsi="Arial" w:cs="Arial"/>
          <w:b/>
          <w:bCs/>
          <w:sz w:val="24"/>
          <w:szCs w:val="24"/>
          <w:lang w:val="en-PH"/>
        </w:rPr>
      </w:pPr>
    </w:p>
    <w:p w14:paraId="719117EF" w14:textId="73D06F34" w:rsidR="00AD5FC3" w:rsidRPr="00470206" w:rsidRDefault="00AD5FC3" w:rsidP="00390B08">
      <w:pPr>
        <w:pStyle w:val="p2"/>
        <w:tabs>
          <w:tab w:val="left" w:pos="284"/>
          <w:tab w:val="left" w:pos="567"/>
          <w:tab w:val="left" w:pos="851"/>
          <w:tab w:val="left" w:pos="1134"/>
        </w:tabs>
        <w:jc w:val="both"/>
        <w:rPr>
          <w:rFonts w:ascii="Arial" w:eastAsia="Book Antiqua" w:hAnsi="Arial" w:cs="Arial"/>
          <w:sz w:val="24"/>
          <w:szCs w:val="24"/>
        </w:rPr>
      </w:pPr>
      <w:r w:rsidRPr="00470206">
        <w:rPr>
          <w:rFonts w:ascii="Arial" w:hAnsi="Arial" w:cs="Arial"/>
          <w:b/>
          <w:bCs/>
          <w:sz w:val="24"/>
          <w:szCs w:val="24"/>
        </w:rPr>
        <w:t xml:space="preserve">Section </w:t>
      </w:r>
      <w:r w:rsidR="00766529">
        <w:rPr>
          <w:rFonts w:ascii="Arial" w:hAnsi="Arial" w:cs="Arial"/>
          <w:b/>
          <w:bCs/>
          <w:sz w:val="24"/>
          <w:szCs w:val="24"/>
        </w:rPr>
        <w:t>3</w:t>
      </w:r>
      <w:r w:rsidRPr="00470206">
        <w:rPr>
          <w:rFonts w:ascii="Arial" w:hAnsi="Arial" w:cs="Arial"/>
          <w:b/>
          <w:bCs/>
          <w:sz w:val="24"/>
          <w:szCs w:val="24"/>
        </w:rPr>
        <w:t>.</w:t>
      </w:r>
      <w:r w:rsidR="00A23CD0" w:rsidRPr="00470206">
        <w:rPr>
          <w:rFonts w:ascii="Arial" w:hAnsi="Arial" w:cs="Arial"/>
          <w:b/>
          <w:bCs/>
          <w:sz w:val="24"/>
          <w:szCs w:val="24"/>
        </w:rPr>
        <w:t xml:space="preserve"> </w:t>
      </w:r>
      <w:r w:rsidR="00F5408D" w:rsidRPr="00F5408D">
        <w:rPr>
          <w:rFonts w:ascii="Arial" w:hAnsi="Arial" w:cs="Arial"/>
          <w:b/>
          <w:bCs/>
          <w:sz w:val="24"/>
          <w:szCs w:val="24"/>
        </w:rPr>
        <w:t xml:space="preserve">Separability Clause. </w:t>
      </w:r>
      <w:r w:rsidR="00F5408D" w:rsidRPr="000D3C12">
        <w:rPr>
          <w:rFonts w:ascii="Arial" w:hAnsi="Arial" w:cs="Arial"/>
          <w:sz w:val="24"/>
          <w:szCs w:val="24"/>
        </w:rPr>
        <w:t>If any provision of this Circular is declared invalid or unconstitutional, the other provisions not affected thereby shall remain valid and subsisting</w:t>
      </w:r>
      <w:r w:rsidR="00F5408D" w:rsidRPr="00F5408D">
        <w:rPr>
          <w:rFonts w:ascii="Arial" w:hAnsi="Arial" w:cs="Arial"/>
          <w:b/>
          <w:bCs/>
          <w:sz w:val="24"/>
          <w:szCs w:val="24"/>
        </w:rPr>
        <w:t>.</w:t>
      </w:r>
    </w:p>
    <w:p w14:paraId="66502941" w14:textId="77777777" w:rsidR="00AD5FC3" w:rsidRPr="00470206" w:rsidRDefault="00AD5FC3" w:rsidP="00390B08">
      <w:pPr>
        <w:pStyle w:val="p2"/>
        <w:tabs>
          <w:tab w:val="left" w:pos="284"/>
          <w:tab w:val="left" w:pos="567"/>
          <w:tab w:val="left" w:pos="851"/>
          <w:tab w:val="left" w:pos="1134"/>
        </w:tabs>
        <w:jc w:val="both"/>
        <w:rPr>
          <w:rFonts w:ascii="Arial" w:eastAsia="Book Antiqua" w:hAnsi="Arial" w:cs="Arial"/>
          <w:sz w:val="24"/>
          <w:szCs w:val="24"/>
        </w:rPr>
      </w:pPr>
    </w:p>
    <w:p w14:paraId="523E288C" w14:textId="1E472058" w:rsidR="00A23CD0" w:rsidRPr="00470206" w:rsidRDefault="00AD5FC3" w:rsidP="00390B08">
      <w:pPr>
        <w:jc w:val="both"/>
        <w:rPr>
          <w:sz w:val="24"/>
          <w:szCs w:val="24"/>
        </w:rPr>
      </w:pPr>
      <w:r w:rsidRPr="00470206">
        <w:rPr>
          <w:b/>
          <w:bCs/>
          <w:sz w:val="24"/>
          <w:szCs w:val="24"/>
        </w:rPr>
        <w:t>Section</w:t>
      </w:r>
      <w:r w:rsidR="00AD1EC3">
        <w:rPr>
          <w:b/>
          <w:bCs/>
          <w:sz w:val="24"/>
          <w:szCs w:val="24"/>
        </w:rPr>
        <w:t xml:space="preserve"> </w:t>
      </w:r>
      <w:r w:rsidR="00766529">
        <w:rPr>
          <w:b/>
          <w:bCs/>
          <w:sz w:val="24"/>
          <w:szCs w:val="24"/>
        </w:rPr>
        <w:t>4</w:t>
      </w:r>
      <w:r w:rsidRPr="00470206">
        <w:rPr>
          <w:b/>
          <w:bCs/>
          <w:sz w:val="24"/>
          <w:szCs w:val="24"/>
        </w:rPr>
        <w:t>. Repealing Clause</w:t>
      </w:r>
      <w:r w:rsidRPr="00470206">
        <w:rPr>
          <w:sz w:val="24"/>
          <w:szCs w:val="24"/>
        </w:rPr>
        <w:t>. All previous issuances, rules, and regulations inconsistent with this Circular are hereby repealed, amended, or modified accordingly.</w:t>
      </w:r>
    </w:p>
    <w:p w14:paraId="3B6C3421" w14:textId="77777777" w:rsidR="00A23CD0" w:rsidRPr="00470206" w:rsidRDefault="00A23CD0" w:rsidP="00390B08">
      <w:pPr>
        <w:jc w:val="both"/>
        <w:rPr>
          <w:sz w:val="24"/>
          <w:szCs w:val="24"/>
        </w:rPr>
      </w:pPr>
    </w:p>
    <w:p w14:paraId="4118ACD5" w14:textId="29B08C96" w:rsidR="00A23CD0" w:rsidRPr="00470206" w:rsidRDefault="00A23CD0" w:rsidP="00390B08">
      <w:pPr>
        <w:pStyle w:val="p2"/>
        <w:tabs>
          <w:tab w:val="left" w:pos="284"/>
          <w:tab w:val="left" w:pos="567"/>
          <w:tab w:val="left" w:pos="851"/>
          <w:tab w:val="left" w:pos="1134"/>
        </w:tabs>
        <w:jc w:val="both"/>
        <w:rPr>
          <w:rFonts w:ascii="Arial" w:hAnsi="Arial" w:cs="Arial"/>
          <w:sz w:val="24"/>
          <w:szCs w:val="24"/>
        </w:rPr>
      </w:pPr>
      <w:r w:rsidRPr="00470206">
        <w:rPr>
          <w:rFonts w:ascii="Arial" w:hAnsi="Arial" w:cs="Arial"/>
          <w:b/>
          <w:bCs/>
          <w:sz w:val="24"/>
          <w:szCs w:val="24"/>
        </w:rPr>
        <w:t xml:space="preserve">Section </w:t>
      </w:r>
      <w:r w:rsidR="00766529">
        <w:rPr>
          <w:rFonts w:ascii="Arial" w:hAnsi="Arial" w:cs="Arial"/>
          <w:b/>
          <w:bCs/>
          <w:sz w:val="24"/>
          <w:szCs w:val="24"/>
        </w:rPr>
        <w:t>5</w:t>
      </w:r>
      <w:r w:rsidRPr="00470206">
        <w:rPr>
          <w:rFonts w:ascii="Arial" w:hAnsi="Arial" w:cs="Arial"/>
          <w:b/>
          <w:bCs/>
          <w:sz w:val="24"/>
          <w:szCs w:val="24"/>
        </w:rPr>
        <w:t>. Effectivity</w:t>
      </w:r>
      <w:r w:rsidRPr="00470206">
        <w:rPr>
          <w:rFonts w:ascii="Arial" w:hAnsi="Arial" w:cs="Arial"/>
          <w:sz w:val="24"/>
          <w:szCs w:val="24"/>
        </w:rPr>
        <w:t xml:space="preserve">. This Circular shall take effect </w:t>
      </w:r>
      <w:r w:rsidR="001F4D8B" w:rsidRPr="00470206">
        <w:rPr>
          <w:rFonts w:ascii="Arial" w:hAnsi="Arial" w:cs="Arial"/>
          <w:sz w:val="24"/>
          <w:szCs w:val="24"/>
        </w:rPr>
        <w:t xml:space="preserve">fifteen (15) days </w:t>
      </w:r>
      <w:r w:rsidR="001C5BDC" w:rsidRPr="00470206">
        <w:rPr>
          <w:rFonts w:ascii="Arial" w:hAnsi="Arial" w:cs="Arial"/>
          <w:sz w:val="24"/>
          <w:szCs w:val="24"/>
        </w:rPr>
        <w:t>following its</w:t>
      </w:r>
      <w:r w:rsidR="00E466BD" w:rsidRPr="00470206">
        <w:rPr>
          <w:rFonts w:ascii="Arial" w:hAnsi="Arial" w:cs="Arial"/>
          <w:sz w:val="24"/>
          <w:szCs w:val="24"/>
        </w:rPr>
        <w:t xml:space="preserve"> complete</w:t>
      </w:r>
      <w:r w:rsidRPr="00470206">
        <w:rPr>
          <w:rFonts w:ascii="Arial" w:hAnsi="Arial" w:cs="Arial"/>
          <w:sz w:val="24"/>
          <w:szCs w:val="24"/>
        </w:rPr>
        <w:t xml:space="preserve"> publication in at least two (2) newspapers of general circulation and shall remain in effect until otherwise revoked. A copy of this Circular shall be filed with the University of the Philippines Law Center - Office of the National Administrative Register.</w:t>
      </w:r>
    </w:p>
    <w:p w14:paraId="6AAB2EDC" w14:textId="77777777" w:rsidR="00A23CD0" w:rsidRPr="00470206" w:rsidRDefault="00A23CD0" w:rsidP="00390B08">
      <w:pPr>
        <w:pStyle w:val="p2"/>
        <w:tabs>
          <w:tab w:val="left" w:pos="284"/>
          <w:tab w:val="left" w:pos="567"/>
          <w:tab w:val="left" w:pos="851"/>
          <w:tab w:val="left" w:pos="1134"/>
        </w:tabs>
        <w:jc w:val="both"/>
        <w:rPr>
          <w:rFonts w:ascii="Arial" w:hAnsi="Arial" w:cs="Arial"/>
          <w:sz w:val="24"/>
          <w:szCs w:val="24"/>
        </w:rPr>
      </w:pPr>
    </w:p>
    <w:p w14:paraId="443192B3" w14:textId="5D15D852" w:rsidR="00A23CD0" w:rsidRPr="00470206" w:rsidRDefault="00A23CD0" w:rsidP="00A23CD0">
      <w:pPr>
        <w:pStyle w:val="p2"/>
        <w:tabs>
          <w:tab w:val="left" w:pos="0"/>
        </w:tabs>
        <w:jc w:val="both"/>
        <w:rPr>
          <w:rFonts w:ascii="Arial" w:hAnsi="Arial" w:cs="Arial"/>
          <w:sz w:val="24"/>
          <w:szCs w:val="24"/>
        </w:rPr>
      </w:pPr>
      <w:r w:rsidRPr="00470206">
        <w:rPr>
          <w:rFonts w:ascii="Arial" w:eastAsia="Book Antiqua" w:hAnsi="Arial" w:cs="Arial"/>
          <w:sz w:val="24"/>
          <w:szCs w:val="24"/>
        </w:rPr>
        <w:t>Issued this __</w:t>
      </w:r>
      <w:r w:rsidRPr="00470206">
        <w:rPr>
          <w:rFonts w:ascii="Arial" w:hAnsi="Arial" w:cs="Arial"/>
          <w:sz w:val="24"/>
          <w:szCs w:val="24"/>
        </w:rPr>
        <w:t xml:space="preserve">__ day of </w:t>
      </w:r>
      <w:r w:rsidR="003E68A2">
        <w:rPr>
          <w:rFonts w:ascii="Arial" w:hAnsi="Arial" w:cs="Arial"/>
          <w:sz w:val="24"/>
          <w:szCs w:val="24"/>
        </w:rPr>
        <w:t>________________2</w:t>
      </w:r>
      <w:r w:rsidRPr="00470206">
        <w:rPr>
          <w:rFonts w:ascii="Arial" w:hAnsi="Arial" w:cs="Arial"/>
          <w:sz w:val="24"/>
          <w:szCs w:val="24"/>
        </w:rPr>
        <w:t>025 at the DOE, Energy Center, Rizal Drive, cor. 34</w:t>
      </w:r>
      <w:r w:rsidRPr="00470206">
        <w:rPr>
          <w:rFonts w:ascii="Arial" w:hAnsi="Arial" w:cs="Arial"/>
          <w:sz w:val="24"/>
          <w:szCs w:val="24"/>
          <w:vertAlign w:val="superscript"/>
        </w:rPr>
        <w:t>th</w:t>
      </w:r>
      <w:r w:rsidRPr="00470206">
        <w:rPr>
          <w:rFonts w:ascii="Arial" w:hAnsi="Arial" w:cs="Arial"/>
          <w:sz w:val="24"/>
          <w:szCs w:val="24"/>
        </w:rPr>
        <w:t xml:space="preserve"> Street, Bonifacio Global City, Taguig City, Metro Manila.</w:t>
      </w:r>
    </w:p>
    <w:p w14:paraId="6F988003" w14:textId="77777777" w:rsidR="00A23CD0" w:rsidRPr="00470206" w:rsidRDefault="00A23CD0" w:rsidP="00A23CD0">
      <w:pPr>
        <w:pStyle w:val="Body"/>
        <w:jc w:val="both"/>
        <w:rPr>
          <w:rFonts w:ascii="Arial" w:eastAsia="Book Antiqua" w:hAnsi="Arial" w:cs="Arial"/>
          <w:b/>
          <w:bCs/>
        </w:rPr>
      </w:pPr>
    </w:p>
    <w:p w14:paraId="72CBC09C" w14:textId="77777777" w:rsidR="00A23CD0" w:rsidRDefault="00A23CD0" w:rsidP="00A23CD0">
      <w:pPr>
        <w:pStyle w:val="Body"/>
        <w:jc w:val="both"/>
        <w:rPr>
          <w:rFonts w:ascii="Arial" w:eastAsia="Book Antiqua" w:hAnsi="Arial" w:cs="Arial"/>
          <w:b/>
          <w:bCs/>
        </w:rPr>
      </w:pPr>
    </w:p>
    <w:p w14:paraId="375F2215" w14:textId="77777777" w:rsidR="00273E2C" w:rsidRDefault="00273E2C" w:rsidP="00A23CD0">
      <w:pPr>
        <w:pStyle w:val="Body"/>
        <w:jc w:val="both"/>
        <w:rPr>
          <w:rFonts w:ascii="Arial" w:eastAsia="Book Antiqua" w:hAnsi="Arial" w:cs="Arial"/>
          <w:b/>
          <w:bCs/>
        </w:rPr>
      </w:pPr>
    </w:p>
    <w:p w14:paraId="73355A5D" w14:textId="77777777" w:rsidR="00273E2C" w:rsidRDefault="00273E2C" w:rsidP="00A23CD0">
      <w:pPr>
        <w:pStyle w:val="Body"/>
        <w:jc w:val="both"/>
        <w:rPr>
          <w:rFonts w:ascii="Arial" w:eastAsia="Book Antiqua" w:hAnsi="Arial" w:cs="Arial"/>
          <w:b/>
          <w:bCs/>
        </w:rPr>
      </w:pPr>
    </w:p>
    <w:p w14:paraId="5F4D8BDD" w14:textId="77777777" w:rsidR="00273E2C" w:rsidRPr="00470206" w:rsidRDefault="00273E2C" w:rsidP="00A23CD0">
      <w:pPr>
        <w:pStyle w:val="Body"/>
        <w:jc w:val="both"/>
        <w:rPr>
          <w:rFonts w:ascii="Arial" w:eastAsia="Book Antiqua" w:hAnsi="Arial" w:cs="Arial"/>
          <w:b/>
          <w:bCs/>
        </w:rPr>
      </w:pPr>
    </w:p>
    <w:p w14:paraId="0DA924A0" w14:textId="77777777" w:rsidR="00A23CD0" w:rsidRPr="00470206" w:rsidRDefault="00A23CD0" w:rsidP="00A23CD0">
      <w:pPr>
        <w:pStyle w:val="Body"/>
        <w:ind w:left="5670"/>
        <w:jc w:val="both"/>
        <w:rPr>
          <w:rFonts w:ascii="Arial" w:eastAsia="Book Antiqua" w:hAnsi="Arial" w:cs="Arial"/>
          <w:b/>
          <w:bCs/>
        </w:rPr>
      </w:pPr>
      <w:r w:rsidRPr="00470206">
        <w:rPr>
          <w:rFonts w:ascii="Arial" w:hAnsi="Arial" w:cs="Arial"/>
          <w:b/>
          <w:bCs/>
          <w:lang w:val="en-PH"/>
        </w:rPr>
        <w:t>RAPHAEL P.M. LOTILLA</w:t>
      </w:r>
    </w:p>
    <w:p w14:paraId="2B85611B" w14:textId="6D789049" w:rsidR="00A23CD0" w:rsidRPr="00A23CD0" w:rsidRDefault="00A23CD0" w:rsidP="00A23CD0">
      <w:pPr>
        <w:pStyle w:val="Body"/>
        <w:ind w:left="5670"/>
        <w:rPr>
          <w:rFonts w:ascii="Arial" w:eastAsia="Book Antiqua" w:hAnsi="Arial" w:cs="Arial"/>
          <w:iCs/>
        </w:rPr>
        <w:sectPr w:rsidR="00A23CD0" w:rsidRPr="00A23CD0" w:rsidSect="00235366">
          <w:headerReference w:type="even" r:id="rId11"/>
          <w:headerReference w:type="default" r:id="rId12"/>
          <w:footerReference w:type="default" r:id="rId13"/>
          <w:footnotePr>
            <w:numStart w:val="5"/>
          </w:footnotePr>
          <w:type w:val="continuous"/>
          <w:pgSz w:w="11906" w:h="16838" w:code="9"/>
          <w:pgMar w:top="1440" w:right="1440" w:bottom="1440" w:left="1440" w:header="709" w:footer="709" w:gutter="0"/>
          <w:cols w:space="708"/>
          <w:docGrid w:linePitch="360"/>
        </w:sectPr>
      </w:pPr>
      <w:r w:rsidRPr="00470206">
        <w:rPr>
          <w:rFonts w:ascii="Arial" w:hAnsi="Arial" w:cs="Arial"/>
          <w:i/>
        </w:rPr>
        <w:t xml:space="preserve">              </w:t>
      </w:r>
      <w:r w:rsidRPr="00470206">
        <w:rPr>
          <w:rFonts w:ascii="Arial" w:hAnsi="Arial" w:cs="Arial"/>
          <w:iCs/>
        </w:rPr>
        <w:t>Secretar</w:t>
      </w:r>
      <w:r w:rsidR="00273E2C">
        <w:rPr>
          <w:rFonts w:ascii="Arial" w:hAnsi="Arial" w:cs="Arial"/>
          <w:iCs/>
        </w:rPr>
        <w:t>y</w:t>
      </w:r>
    </w:p>
    <w:p w14:paraId="1825E122" w14:textId="77777777" w:rsidR="00A23CD0" w:rsidRPr="00273E2C" w:rsidRDefault="00A23CD0" w:rsidP="00A16BD1">
      <w:pPr>
        <w:rPr>
          <w:sz w:val="4"/>
          <w:szCs w:val="4"/>
        </w:rPr>
      </w:pPr>
    </w:p>
    <w:sectPr w:rsidR="00A23CD0" w:rsidRPr="00273E2C" w:rsidSect="00AD5FC3">
      <w:type w:val="continuous"/>
      <w:pgSz w:w="11906" w:h="16838" w:code="9"/>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D8A2F" w14:textId="77777777" w:rsidR="00454CE7" w:rsidRDefault="00454CE7" w:rsidP="00CB64EF">
      <w:r>
        <w:separator/>
      </w:r>
    </w:p>
  </w:endnote>
  <w:endnote w:type="continuationSeparator" w:id="0">
    <w:p w14:paraId="26B37A70" w14:textId="77777777" w:rsidR="00454CE7" w:rsidRDefault="00454CE7" w:rsidP="00CB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F530" w14:textId="7A3E4C72" w:rsidR="00297F50" w:rsidRDefault="00297F50">
    <w:pPr>
      <w:pStyle w:val="Footer"/>
    </w:pPr>
    <w:r w:rsidRPr="008E2D40">
      <w:rPr>
        <w:noProof/>
      </w:rPr>
      <w:drawing>
        <wp:anchor distT="0" distB="0" distL="114300" distR="114300" simplePos="0" relativeHeight="251664384" behindDoc="0" locked="0" layoutInCell="1" allowOverlap="1" wp14:anchorId="4307B9C9" wp14:editId="08097DE3">
          <wp:simplePos x="0" y="0"/>
          <wp:positionH relativeFrom="column">
            <wp:posOffset>-929640</wp:posOffset>
          </wp:positionH>
          <wp:positionV relativeFrom="paragraph">
            <wp:posOffset>-259080</wp:posOffset>
          </wp:positionV>
          <wp:extent cx="7553325" cy="782320"/>
          <wp:effectExtent l="0" t="0" r="9525" b="0"/>
          <wp:wrapNone/>
          <wp:docPr id="2052715987"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315" name="Picture 3" descr="A white background with black dot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92681"/>
                  <a:stretch/>
                </pic:blipFill>
                <pic:spPr bwMode="auto">
                  <a:xfrm>
                    <a:off x="0" y="0"/>
                    <a:ext cx="7553325" cy="782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1F073" w14:textId="77777777" w:rsidR="00454CE7" w:rsidRDefault="00454CE7" w:rsidP="00CB64EF">
      <w:r>
        <w:separator/>
      </w:r>
    </w:p>
  </w:footnote>
  <w:footnote w:type="continuationSeparator" w:id="0">
    <w:p w14:paraId="08A4405F" w14:textId="77777777" w:rsidR="00454CE7" w:rsidRDefault="00454CE7" w:rsidP="00CB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F244" w14:textId="2D2A4C4E" w:rsidR="00235366" w:rsidRDefault="00235366">
    <w:pPr>
      <w:pStyle w:val="Header"/>
      <w:rPr>
        <w:lang w:val="en-US"/>
      </w:rPr>
    </w:pPr>
    <w:r w:rsidRPr="00A16BD1">
      <w:rPr>
        <w:highlight w:val="yellow"/>
        <w:lang w:val="en-US"/>
      </w:rPr>
      <w:t xml:space="preserve">DC on Amendment to DC No. 2025-03-0004 titled “Providing the Revised Guidelines for the Green Energy Auction Program </w:t>
    </w:r>
    <w:r w:rsidR="00A16BD1" w:rsidRPr="00A16BD1">
      <w:rPr>
        <w:highlight w:val="yellow"/>
        <w:lang w:val="en-US"/>
      </w:rPr>
      <w:t>in</w:t>
    </w:r>
    <w:r w:rsidRPr="00A16BD1">
      <w:rPr>
        <w:highlight w:val="yellow"/>
        <w:lang w:val="en-US"/>
      </w:rPr>
      <w:t xml:space="preserve"> the Philippines”</w:t>
    </w:r>
    <w:r>
      <w:rPr>
        <w:lang w:val="en-US"/>
      </w:rPr>
      <w:t xml:space="preserve">                                                       </w:t>
    </w:r>
  </w:p>
  <w:p w14:paraId="066A262C" w14:textId="438DC358" w:rsidR="00235366" w:rsidRPr="00235366" w:rsidRDefault="00235366" w:rsidP="00235366">
    <w:pPr>
      <w:pStyle w:val="Header"/>
      <w:jc w:val="right"/>
      <w:rPr>
        <w:lang w:val="en-US"/>
      </w:rPr>
    </w:pPr>
    <w:r>
      <w:rPr>
        <w:lang w:val="en-US"/>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E5FA" w14:textId="49DDF2D8" w:rsidR="005738DF" w:rsidRDefault="002A6848">
    <w:pPr>
      <w:pStyle w:val="Header"/>
    </w:pPr>
    <w:r w:rsidRPr="004D3CD1">
      <w:rPr>
        <w:noProof/>
      </w:rPr>
      <w:drawing>
        <wp:anchor distT="0" distB="0" distL="114300" distR="114300" simplePos="0" relativeHeight="251662336" behindDoc="1" locked="0" layoutInCell="1" allowOverlap="1" wp14:anchorId="6A172175" wp14:editId="0F3B3543">
          <wp:simplePos x="0" y="0"/>
          <wp:positionH relativeFrom="column">
            <wp:posOffset>-927100</wp:posOffset>
          </wp:positionH>
          <wp:positionV relativeFrom="paragraph">
            <wp:posOffset>-436880</wp:posOffset>
          </wp:positionV>
          <wp:extent cx="7553325" cy="1320800"/>
          <wp:effectExtent l="0" t="0" r="9525" b="0"/>
          <wp:wrapNone/>
          <wp:docPr id="1183572523"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20486" name="Picture 2" descr="A white background with black dot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7643"/>
                  <a:stretch/>
                </pic:blipFill>
                <pic:spPr bwMode="auto">
                  <a:xfrm>
                    <a:off x="0" y="0"/>
                    <a:ext cx="7553325" cy="132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45FF7"/>
    <w:multiLevelType w:val="multilevel"/>
    <w:tmpl w:val="2778914A"/>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C9151E"/>
    <w:multiLevelType w:val="hybridMultilevel"/>
    <w:tmpl w:val="3CEA4E0A"/>
    <w:lvl w:ilvl="0" w:tplc="5DFE2E84">
      <w:start w:val="1"/>
      <w:numFmt w:val="decimal"/>
      <w:lvlText w:val="Section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76415">
    <w:abstractNumId w:val="1"/>
  </w:num>
  <w:num w:numId="2" w16cid:durableId="160137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oNotDisplayPageBoundaries/>
  <w:proofState w:spelling="clean" w:grammar="clean"/>
  <w:defaultTabStop w:val="720"/>
  <w:evenAndOddHeaders/>
  <w:characterSpacingControl w:val="doNotCompress"/>
  <w:hdrShapeDefaults>
    <o:shapedefaults v:ext="edit" spidmax="2050"/>
  </w:hdrShapeDefaults>
  <w:footnotePr>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6B"/>
    <w:rsid w:val="00030295"/>
    <w:rsid w:val="00035FB9"/>
    <w:rsid w:val="000401DA"/>
    <w:rsid w:val="00040CA0"/>
    <w:rsid w:val="0004572C"/>
    <w:rsid w:val="000575F0"/>
    <w:rsid w:val="00062046"/>
    <w:rsid w:val="0007140C"/>
    <w:rsid w:val="000A079C"/>
    <w:rsid w:val="000A2DF0"/>
    <w:rsid w:val="000C0792"/>
    <w:rsid w:val="000C757D"/>
    <w:rsid w:val="000D3C12"/>
    <w:rsid w:val="000D6215"/>
    <w:rsid w:val="000E6B95"/>
    <w:rsid w:val="000F2237"/>
    <w:rsid w:val="00114CDB"/>
    <w:rsid w:val="00137334"/>
    <w:rsid w:val="00163909"/>
    <w:rsid w:val="00163CFF"/>
    <w:rsid w:val="001C5BDC"/>
    <w:rsid w:val="001F4D8B"/>
    <w:rsid w:val="00203730"/>
    <w:rsid w:val="00205FAA"/>
    <w:rsid w:val="00235366"/>
    <w:rsid w:val="00241E11"/>
    <w:rsid w:val="00253720"/>
    <w:rsid w:val="00273E2C"/>
    <w:rsid w:val="00297F50"/>
    <w:rsid w:val="002A1BAF"/>
    <w:rsid w:val="002A6848"/>
    <w:rsid w:val="002B5328"/>
    <w:rsid w:val="002E18AE"/>
    <w:rsid w:val="002E241B"/>
    <w:rsid w:val="002F4432"/>
    <w:rsid w:val="00303EE9"/>
    <w:rsid w:val="00323E17"/>
    <w:rsid w:val="003251CC"/>
    <w:rsid w:val="00336101"/>
    <w:rsid w:val="0036773C"/>
    <w:rsid w:val="00390B08"/>
    <w:rsid w:val="003A5983"/>
    <w:rsid w:val="003B3CF5"/>
    <w:rsid w:val="003E68A2"/>
    <w:rsid w:val="003E7309"/>
    <w:rsid w:val="00430C8F"/>
    <w:rsid w:val="00454CE7"/>
    <w:rsid w:val="00465245"/>
    <w:rsid w:val="00470206"/>
    <w:rsid w:val="004926C4"/>
    <w:rsid w:val="004A52FA"/>
    <w:rsid w:val="00506A2B"/>
    <w:rsid w:val="00537B6B"/>
    <w:rsid w:val="00546094"/>
    <w:rsid w:val="005738DF"/>
    <w:rsid w:val="005B27D1"/>
    <w:rsid w:val="005D4A02"/>
    <w:rsid w:val="0061525E"/>
    <w:rsid w:val="00647AAF"/>
    <w:rsid w:val="006834E0"/>
    <w:rsid w:val="0068472A"/>
    <w:rsid w:val="00684C2C"/>
    <w:rsid w:val="0068636F"/>
    <w:rsid w:val="006943EE"/>
    <w:rsid w:val="006944C3"/>
    <w:rsid w:val="00696F1B"/>
    <w:rsid w:val="006C288B"/>
    <w:rsid w:val="006D2327"/>
    <w:rsid w:val="006D2E9B"/>
    <w:rsid w:val="006E07DD"/>
    <w:rsid w:val="006E3824"/>
    <w:rsid w:val="007039EF"/>
    <w:rsid w:val="00703A38"/>
    <w:rsid w:val="00715940"/>
    <w:rsid w:val="007342D5"/>
    <w:rsid w:val="00736E7D"/>
    <w:rsid w:val="00765A8B"/>
    <w:rsid w:val="00766529"/>
    <w:rsid w:val="007A09F3"/>
    <w:rsid w:val="007F53CF"/>
    <w:rsid w:val="007F55AF"/>
    <w:rsid w:val="008558DD"/>
    <w:rsid w:val="008756BA"/>
    <w:rsid w:val="00892864"/>
    <w:rsid w:val="008B55EC"/>
    <w:rsid w:val="008C1F09"/>
    <w:rsid w:val="008C636B"/>
    <w:rsid w:val="008D11BF"/>
    <w:rsid w:val="008F19B7"/>
    <w:rsid w:val="00917164"/>
    <w:rsid w:val="009228A7"/>
    <w:rsid w:val="0092527E"/>
    <w:rsid w:val="009628D5"/>
    <w:rsid w:val="0096495C"/>
    <w:rsid w:val="00985771"/>
    <w:rsid w:val="00985812"/>
    <w:rsid w:val="009B3C15"/>
    <w:rsid w:val="009B46DD"/>
    <w:rsid w:val="009F10A7"/>
    <w:rsid w:val="00A16AE7"/>
    <w:rsid w:val="00A16BD1"/>
    <w:rsid w:val="00A23CD0"/>
    <w:rsid w:val="00A45827"/>
    <w:rsid w:val="00A50345"/>
    <w:rsid w:val="00A54316"/>
    <w:rsid w:val="00A8569A"/>
    <w:rsid w:val="00AA3089"/>
    <w:rsid w:val="00AA4D4A"/>
    <w:rsid w:val="00AD1EC3"/>
    <w:rsid w:val="00AD5FC3"/>
    <w:rsid w:val="00AE3527"/>
    <w:rsid w:val="00AF72C6"/>
    <w:rsid w:val="00B021F0"/>
    <w:rsid w:val="00B323A8"/>
    <w:rsid w:val="00B5251C"/>
    <w:rsid w:val="00B66C6B"/>
    <w:rsid w:val="00B8255D"/>
    <w:rsid w:val="00B84B5C"/>
    <w:rsid w:val="00BA2A32"/>
    <w:rsid w:val="00BA2A7B"/>
    <w:rsid w:val="00BB177E"/>
    <w:rsid w:val="00BD3D42"/>
    <w:rsid w:val="00C215CE"/>
    <w:rsid w:val="00C34EC2"/>
    <w:rsid w:val="00C5339C"/>
    <w:rsid w:val="00C608F3"/>
    <w:rsid w:val="00CB64EF"/>
    <w:rsid w:val="00CD570A"/>
    <w:rsid w:val="00CF727D"/>
    <w:rsid w:val="00D100B8"/>
    <w:rsid w:val="00D5296C"/>
    <w:rsid w:val="00D601FF"/>
    <w:rsid w:val="00D8364B"/>
    <w:rsid w:val="00DB6C38"/>
    <w:rsid w:val="00DC11CC"/>
    <w:rsid w:val="00DD4759"/>
    <w:rsid w:val="00DD751A"/>
    <w:rsid w:val="00E03A24"/>
    <w:rsid w:val="00E05227"/>
    <w:rsid w:val="00E20414"/>
    <w:rsid w:val="00E466BD"/>
    <w:rsid w:val="00E66F34"/>
    <w:rsid w:val="00E752CC"/>
    <w:rsid w:val="00E75D1E"/>
    <w:rsid w:val="00E93B97"/>
    <w:rsid w:val="00EA3E91"/>
    <w:rsid w:val="00EC3C72"/>
    <w:rsid w:val="00F03BE3"/>
    <w:rsid w:val="00F11B83"/>
    <w:rsid w:val="00F141E4"/>
    <w:rsid w:val="00F144DD"/>
    <w:rsid w:val="00F16097"/>
    <w:rsid w:val="00F2718B"/>
    <w:rsid w:val="00F35F87"/>
    <w:rsid w:val="00F3728A"/>
    <w:rsid w:val="00F4384F"/>
    <w:rsid w:val="00F5408D"/>
    <w:rsid w:val="00F54791"/>
    <w:rsid w:val="00F71016"/>
    <w:rsid w:val="00F85591"/>
    <w:rsid w:val="00F85C89"/>
    <w:rsid w:val="00F9205F"/>
    <w:rsid w:val="00F94B89"/>
    <w:rsid w:val="00FB6754"/>
    <w:rsid w:val="00FC1540"/>
    <w:rsid w:val="00FD1675"/>
    <w:rsid w:val="00FF2CF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8613F"/>
  <w15:chartTrackingRefBased/>
  <w15:docId w15:val="{D12BB5C8-67CE-45CB-9D93-0F7FDA70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64EF"/>
    <w:rPr>
      <w:sz w:val="20"/>
      <w:szCs w:val="20"/>
    </w:rPr>
  </w:style>
  <w:style w:type="character" w:customStyle="1" w:styleId="FootnoteTextChar">
    <w:name w:val="Footnote Text Char"/>
    <w:basedOn w:val="DefaultParagraphFont"/>
    <w:link w:val="FootnoteText"/>
    <w:uiPriority w:val="99"/>
    <w:semiHidden/>
    <w:rsid w:val="00CB64EF"/>
    <w:rPr>
      <w:sz w:val="20"/>
      <w:szCs w:val="20"/>
    </w:rPr>
  </w:style>
  <w:style w:type="character" w:styleId="FootnoteReference">
    <w:name w:val="footnote reference"/>
    <w:basedOn w:val="DefaultParagraphFont"/>
    <w:uiPriority w:val="99"/>
    <w:semiHidden/>
    <w:unhideWhenUsed/>
    <w:rsid w:val="00CB64EF"/>
    <w:rPr>
      <w:vertAlign w:val="superscript"/>
    </w:rPr>
  </w:style>
  <w:style w:type="paragraph" w:customStyle="1" w:styleId="p2">
    <w:name w:val="p2"/>
    <w:rsid w:val="002F4432"/>
    <w:pPr>
      <w:pBdr>
        <w:top w:val="nil"/>
        <w:left w:val="nil"/>
        <w:bottom w:val="nil"/>
        <w:right w:val="nil"/>
        <w:between w:val="nil"/>
        <w:bar w:val="nil"/>
      </w:pBdr>
    </w:pPr>
    <w:rPr>
      <w:rFonts w:ascii="Verdana" w:eastAsia="Arial Unicode MS" w:hAnsi="Verdana" w:cs="Arial Unicode MS"/>
      <w:color w:val="000000"/>
      <w:sz w:val="17"/>
      <w:szCs w:val="17"/>
      <w:u w:color="000000"/>
      <w:bdr w:val="nil"/>
      <w:lang w:val="en-US"/>
    </w:rPr>
  </w:style>
  <w:style w:type="paragraph" w:customStyle="1" w:styleId="Body">
    <w:name w:val="Body"/>
    <w:rsid w:val="002F4432"/>
    <w:pPr>
      <w:pBdr>
        <w:top w:val="nil"/>
        <w:left w:val="nil"/>
        <w:bottom w:val="nil"/>
        <w:right w:val="nil"/>
        <w:between w:val="nil"/>
        <w:bar w:val="nil"/>
      </w:pBdr>
    </w:pPr>
    <w:rPr>
      <w:rFonts w:ascii="Calibri" w:eastAsia="Calibri" w:hAnsi="Calibri" w:cs="Calibri"/>
      <w:color w:val="000000"/>
      <w:sz w:val="24"/>
      <w:szCs w:val="24"/>
      <w:u w:color="000000"/>
      <w:bdr w:val="nil"/>
      <w:lang w:val="en-US"/>
    </w:rPr>
  </w:style>
  <w:style w:type="paragraph" w:styleId="Header">
    <w:name w:val="header"/>
    <w:basedOn w:val="Normal"/>
    <w:link w:val="HeaderChar"/>
    <w:uiPriority w:val="99"/>
    <w:unhideWhenUsed/>
    <w:rsid w:val="005738DF"/>
    <w:pPr>
      <w:tabs>
        <w:tab w:val="center" w:pos="4680"/>
        <w:tab w:val="right" w:pos="9360"/>
      </w:tabs>
    </w:pPr>
  </w:style>
  <w:style w:type="character" w:customStyle="1" w:styleId="HeaderChar">
    <w:name w:val="Header Char"/>
    <w:basedOn w:val="DefaultParagraphFont"/>
    <w:link w:val="Header"/>
    <w:uiPriority w:val="99"/>
    <w:rsid w:val="005738DF"/>
  </w:style>
  <w:style w:type="paragraph" w:styleId="Footer">
    <w:name w:val="footer"/>
    <w:basedOn w:val="Normal"/>
    <w:link w:val="FooterChar"/>
    <w:uiPriority w:val="99"/>
    <w:unhideWhenUsed/>
    <w:rsid w:val="005738DF"/>
    <w:pPr>
      <w:tabs>
        <w:tab w:val="center" w:pos="4680"/>
        <w:tab w:val="right" w:pos="9360"/>
      </w:tabs>
    </w:pPr>
  </w:style>
  <w:style w:type="character" w:customStyle="1" w:styleId="FooterChar">
    <w:name w:val="Footer Char"/>
    <w:basedOn w:val="DefaultParagraphFont"/>
    <w:link w:val="Footer"/>
    <w:uiPriority w:val="99"/>
    <w:rsid w:val="005738DF"/>
  </w:style>
  <w:style w:type="character" w:styleId="CommentReference">
    <w:name w:val="annotation reference"/>
    <w:basedOn w:val="DefaultParagraphFont"/>
    <w:uiPriority w:val="99"/>
    <w:semiHidden/>
    <w:unhideWhenUsed/>
    <w:rsid w:val="003251CC"/>
    <w:rPr>
      <w:sz w:val="16"/>
      <w:szCs w:val="16"/>
    </w:rPr>
  </w:style>
  <w:style w:type="paragraph" w:styleId="CommentText">
    <w:name w:val="annotation text"/>
    <w:basedOn w:val="Normal"/>
    <w:link w:val="CommentTextChar"/>
    <w:uiPriority w:val="99"/>
    <w:unhideWhenUsed/>
    <w:rsid w:val="003251CC"/>
    <w:rPr>
      <w:sz w:val="20"/>
      <w:szCs w:val="20"/>
    </w:rPr>
  </w:style>
  <w:style w:type="character" w:customStyle="1" w:styleId="CommentTextChar">
    <w:name w:val="Comment Text Char"/>
    <w:basedOn w:val="DefaultParagraphFont"/>
    <w:link w:val="CommentText"/>
    <w:uiPriority w:val="99"/>
    <w:rsid w:val="003251CC"/>
    <w:rPr>
      <w:sz w:val="20"/>
      <w:szCs w:val="20"/>
    </w:rPr>
  </w:style>
  <w:style w:type="paragraph" w:styleId="CommentSubject">
    <w:name w:val="annotation subject"/>
    <w:basedOn w:val="CommentText"/>
    <w:next w:val="CommentText"/>
    <w:link w:val="CommentSubjectChar"/>
    <w:uiPriority w:val="99"/>
    <w:semiHidden/>
    <w:unhideWhenUsed/>
    <w:rsid w:val="003251CC"/>
    <w:rPr>
      <w:b/>
      <w:bCs/>
    </w:rPr>
  </w:style>
  <w:style w:type="character" w:customStyle="1" w:styleId="CommentSubjectChar">
    <w:name w:val="Comment Subject Char"/>
    <w:basedOn w:val="CommentTextChar"/>
    <w:link w:val="CommentSubject"/>
    <w:uiPriority w:val="99"/>
    <w:semiHidden/>
    <w:rsid w:val="003251CC"/>
    <w:rPr>
      <w:b/>
      <w:bCs/>
      <w:sz w:val="20"/>
      <w:szCs w:val="20"/>
    </w:rPr>
  </w:style>
  <w:style w:type="paragraph" w:styleId="Revision">
    <w:name w:val="Revision"/>
    <w:hidden/>
    <w:uiPriority w:val="99"/>
    <w:semiHidden/>
    <w:rsid w:val="00CF727D"/>
  </w:style>
  <w:style w:type="paragraph" w:styleId="ListParagraph">
    <w:name w:val="List Paragraph"/>
    <w:basedOn w:val="Normal"/>
    <w:uiPriority w:val="34"/>
    <w:qFormat/>
    <w:rsid w:val="00163909"/>
    <w:pPr>
      <w:ind w:left="720"/>
      <w:contextualSpacing/>
    </w:pPr>
  </w:style>
  <w:style w:type="numbering" w:customStyle="1" w:styleId="CurrentList1">
    <w:name w:val="Current List1"/>
    <w:uiPriority w:val="99"/>
    <w:rsid w:val="0016390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9BA5516113B14DA1C9CACA099CA2E3" ma:contentTypeVersion="13" ma:contentTypeDescription="Create a new document." ma:contentTypeScope="" ma:versionID="209aef769b2ff8406a71931af10a4a94">
  <xsd:schema xmlns:xsd="http://www.w3.org/2001/XMLSchema" xmlns:xs="http://www.w3.org/2001/XMLSchema" xmlns:p="http://schemas.microsoft.com/office/2006/metadata/properties" xmlns:ns3="1682c3d5-8668-4c75-914c-d5c99810db18" xmlns:ns4="76dbb55c-679c-4c90-8adf-981e1b33a65a" targetNamespace="http://schemas.microsoft.com/office/2006/metadata/properties" ma:root="true" ma:fieldsID="f31b18106b7fa7f5be5c8f5986262fff" ns3:_="" ns4:_="">
    <xsd:import namespace="1682c3d5-8668-4c75-914c-d5c99810db18"/>
    <xsd:import namespace="76dbb55c-679c-4c90-8adf-981e1b33a6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2c3d5-8668-4c75-914c-d5c99810d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dbb55c-679c-4c90-8adf-981e1b33a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682c3d5-8668-4c75-914c-d5c99810db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64EBD-83E0-4CF2-A2DD-64A6BFB2AF98}">
  <ds:schemaRefs>
    <ds:schemaRef ds:uri="http://schemas.openxmlformats.org/officeDocument/2006/bibliography"/>
  </ds:schemaRefs>
</ds:datastoreItem>
</file>

<file path=customXml/itemProps2.xml><?xml version="1.0" encoding="utf-8"?>
<ds:datastoreItem xmlns:ds="http://schemas.openxmlformats.org/officeDocument/2006/customXml" ds:itemID="{2E169BFD-6F40-49AB-8F03-6725EC22B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2c3d5-8668-4c75-914c-d5c99810db18"/>
    <ds:schemaRef ds:uri="76dbb55c-679c-4c90-8adf-981e1b33a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C19DA-58D0-428A-9468-AF7A4EF9E2B3}">
  <ds:schemaRefs>
    <ds:schemaRef ds:uri="http://schemas.microsoft.com/office/2006/metadata/properties"/>
    <ds:schemaRef ds:uri="http://schemas.microsoft.com/office/infopath/2007/PartnerControls"/>
    <ds:schemaRef ds:uri="1682c3d5-8668-4c75-914c-d5c99810db18"/>
  </ds:schemaRefs>
</ds:datastoreItem>
</file>

<file path=customXml/itemProps4.xml><?xml version="1.0" encoding="utf-8"?>
<ds:datastoreItem xmlns:ds="http://schemas.openxmlformats.org/officeDocument/2006/customXml" ds:itemID="{58BFDC5D-9560-4594-B6AB-D62ACC35A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3358</Characters>
  <Application>Microsoft Office Word</Application>
  <DocSecurity>0</DocSecurity>
  <Lines>73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Fielmor C. Amor</dc:creator>
  <cp:keywords/>
  <dc:description/>
  <cp:lastModifiedBy>Fielmor C. Amor</cp:lastModifiedBy>
  <cp:revision>3</cp:revision>
  <cp:lastPrinted>2025-02-28T06:29:00Z</cp:lastPrinted>
  <dcterms:created xsi:type="dcterms:W3CDTF">2025-05-30T13:00:00Z</dcterms:created>
  <dcterms:modified xsi:type="dcterms:W3CDTF">2025-05-30T13:00:00Z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0x010100B19BA5516113B14DA1C9CACA099CA2E3</vt:lpwstr>
  </property>
  <property fmtid="{D5CDD505-2E9C-101B-9397-08002B2CF9AE}" pid="3" name="GrammarlyDocumentId">
    <vt:lpwstr>26eb1765583bcb6511efb976ce1c8c2d698fb5f893201f6ea5cf85a6c38cc664</vt:lpwstr>
  </property>
</Properties>
</file>